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48"/>
          <w:szCs w:val="48"/>
        </w:rPr>
      </w:pPr>
    </w:p>
    <w:p>
      <w:pPr>
        <w:rPr>
          <w:rFonts w:ascii="黑体" w:hAnsi="黑体" w:eastAsia="黑体"/>
          <w:sz w:val="48"/>
          <w:szCs w:val="48"/>
        </w:rPr>
      </w:pPr>
    </w:p>
    <w:p>
      <w:pPr>
        <w:jc w:val="center"/>
        <w:rPr>
          <w:rFonts w:ascii="宋体" w:hAnsi="宋体"/>
          <w:b/>
          <w:bCs/>
          <w:sz w:val="48"/>
          <w:szCs w:val="48"/>
        </w:rPr>
      </w:pPr>
      <w:bookmarkStart w:id="70" w:name="_GoBack"/>
      <w:r>
        <w:rPr>
          <w:rFonts w:hint="eastAsia" w:ascii="宋体" w:hAnsi="宋体"/>
          <w:b/>
          <w:bCs/>
          <w:sz w:val="48"/>
          <w:szCs w:val="48"/>
        </w:rPr>
        <w:t>奉化区危险化学品经营安全发展规划</w:t>
      </w:r>
    </w:p>
    <w:bookmarkEnd w:id="70"/>
    <w:p>
      <w:pPr>
        <w:jc w:val="center"/>
        <w:rPr>
          <w:rFonts w:ascii="黑体" w:hAnsi="黑体" w:eastAsia="黑体"/>
          <w:sz w:val="48"/>
          <w:szCs w:val="48"/>
        </w:rPr>
      </w:pPr>
    </w:p>
    <w:p>
      <w:pPr>
        <w:jc w:val="center"/>
        <w:rPr>
          <w:rFonts w:ascii="宋体" w:hAnsi="宋体"/>
          <w:b/>
          <w:bCs/>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r>
        <w:rPr>
          <w:rFonts w:ascii="宋体" w:hAnsi="宋体"/>
          <w:b/>
          <w:bCs/>
          <w:sz w:val="32"/>
          <w:szCs w:val="32"/>
        </w:rPr>
        <w:t>2023年5月</w:t>
      </w:r>
    </w:p>
    <w:p>
      <w:pPr>
        <w:jc w:val="center"/>
        <w:rPr>
          <w:rFonts w:ascii="楷体" w:hAnsi="楷体" w:eastAsia="楷体"/>
          <w:sz w:val="36"/>
          <w:szCs w:val="36"/>
        </w:rPr>
        <w:sectPr>
          <w:footerReference r:id="rId3" w:type="default"/>
          <w:pgSz w:w="11906" w:h="16838"/>
          <w:pgMar w:top="1440" w:right="1800" w:bottom="1440" w:left="1800" w:header="851" w:footer="992" w:gutter="0"/>
          <w:cols w:space="425" w:num="1"/>
          <w:titlePg/>
          <w:docGrid w:type="lines" w:linePitch="381" w:charSpace="0"/>
        </w:sectPr>
      </w:pPr>
    </w:p>
    <w:sdt>
      <w:sdtPr>
        <w:rPr>
          <w:rFonts w:ascii="Times New Roman" w:hAnsi="Times New Roman" w:eastAsia="宋体" w:cstheme="minorBidi"/>
          <w:color w:val="auto"/>
          <w:kern w:val="2"/>
          <w:sz w:val="28"/>
          <w:szCs w:val="22"/>
          <w:lang w:val="zh-CN"/>
        </w:rPr>
        <w:id w:val="1789770009"/>
        <w:docPartObj>
          <w:docPartGallery w:val="Table of Contents"/>
          <w:docPartUnique/>
        </w:docPartObj>
      </w:sdtPr>
      <w:sdtEndPr>
        <w:rPr>
          <w:rFonts w:ascii="Times New Roman" w:hAnsi="Times New Roman" w:eastAsia="宋体" w:cstheme="minorBidi"/>
          <w:b/>
          <w:bCs/>
          <w:color w:val="auto"/>
          <w:kern w:val="2"/>
          <w:sz w:val="28"/>
          <w:szCs w:val="22"/>
          <w:lang w:val="zh-CN"/>
        </w:rPr>
      </w:sdtEndPr>
      <w:sdtContent>
        <w:p>
          <w:pPr>
            <w:pStyle w:val="23"/>
            <w:jc w:val="center"/>
            <w:rPr>
              <w:rFonts w:ascii="宋体" w:hAnsi="宋体" w:eastAsia="宋体"/>
              <w:color w:val="auto"/>
            </w:rPr>
          </w:pPr>
          <w:r>
            <w:rPr>
              <w:rFonts w:ascii="宋体" w:hAnsi="宋体" w:eastAsia="宋体"/>
              <w:color w:val="auto"/>
              <w:lang w:val="zh-CN"/>
            </w:rPr>
            <w:t>目</w:t>
          </w:r>
          <w:r>
            <w:rPr>
              <w:rFonts w:hint="eastAsia" w:ascii="宋体" w:hAnsi="宋体" w:eastAsia="宋体"/>
              <w:color w:val="auto"/>
              <w:lang w:val="zh-CN"/>
            </w:rPr>
            <w:t xml:space="preserve"> </w:t>
          </w:r>
          <w:r>
            <w:rPr>
              <w:rFonts w:ascii="宋体" w:hAnsi="宋体" w:eastAsia="宋体"/>
              <w:color w:val="auto"/>
              <w:lang w:val="zh-CN"/>
            </w:rPr>
            <w:t xml:space="preserve"> 录</w:t>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TOC \o "1-3" \h \z \u </w:instrText>
          </w:r>
          <w:r>
            <w:fldChar w:fldCharType="separate"/>
          </w:r>
          <w:r>
            <w:fldChar w:fldCharType="begin"/>
          </w:r>
          <w:r>
            <w:instrText xml:space="preserve"> HYPERLINK \l "_Toc136353144" </w:instrText>
          </w:r>
          <w:r>
            <w:fldChar w:fldCharType="separate"/>
          </w:r>
          <w:r>
            <w:rPr>
              <w:rStyle w:val="15"/>
            </w:rPr>
            <w:t>术语和定义</w:t>
          </w:r>
          <w:r>
            <w:tab/>
          </w:r>
          <w:r>
            <w:fldChar w:fldCharType="begin"/>
          </w:r>
          <w:r>
            <w:instrText xml:space="preserve"> PAGEREF _Toc136353144 \h </w:instrText>
          </w:r>
          <w:r>
            <w:fldChar w:fldCharType="separate"/>
          </w:r>
          <w:r>
            <w:t>1</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"_Toc136353145" </w:instrText>
          </w:r>
          <w:r>
            <w:fldChar w:fldCharType="separate"/>
          </w:r>
          <w:r>
            <w:rPr>
              <w:rStyle w:val="15"/>
            </w:rPr>
            <w:t>前 言</w:t>
          </w:r>
          <w:r>
            <w:tab/>
          </w:r>
          <w:r>
            <w:fldChar w:fldCharType="begin"/>
          </w:r>
          <w:r>
            <w:instrText xml:space="preserve"> PAGEREF _Toc136353145 \h </w:instrText>
          </w:r>
          <w:r>
            <w:fldChar w:fldCharType="separate"/>
          </w:r>
          <w:r>
            <w:t>2</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"_Toc136353146" </w:instrText>
          </w:r>
          <w:r>
            <w:fldChar w:fldCharType="separate"/>
          </w:r>
          <w:r>
            <w:rPr>
              <w:rStyle w:val="15"/>
            </w:rPr>
            <w:t>1 总论</w:t>
          </w:r>
          <w:r>
            <w:tab/>
          </w:r>
          <w:r>
            <w:fldChar w:fldCharType="begin"/>
          </w:r>
          <w:r>
            <w:instrText xml:space="preserve"> PAGEREF _Toc136353146 \h </w:instrText>
          </w:r>
          <w:r>
            <w:fldChar w:fldCharType="separate"/>
          </w:r>
          <w:r>
            <w:t>3</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"_Toc136353147" </w:instrText>
          </w:r>
          <w:r>
            <w:fldChar w:fldCharType="separate"/>
          </w:r>
          <w:r>
            <w:rPr>
              <w:rStyle w:val="15"/>
            </w:rPr>
            <w:t>1.1 规划背景</w:t>
          </w:r>
          <w:r>
            <w:tab/>
          </w:r>
          <w:r>
            <w:fldChar w:fldCharType="begin"/>
          </w:r>
          <w:r>
            <w:instrText xml:space="preserve"> PAGEREF _Toc136353147 \h </w:instrText>
          </w:r>
          <w:r>
            <w:fldChar w:fldCharType="separate"/>
          </w:r>
          <w:r>
            <w:t>3</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"_Toc136353148" </w:instrText>
          </w:r>
          <w:r>
            <w:fldChar w:fldCharType="separate"/>
          </w:r>
          <w:r>
            <w:rPr>
              <w:rStyle w:val="15"/>
            </w:rPr>
            <w:t>1.2 规划范围</w:t>
          </w:r>
          <w:r>
            <w:tab/>
          </w:r>
          <w:r>
            <w:fldChar w:fldCharType="begin"/>
          </w:r>
          <w:r>
            <w:instrText xml:space="preserve"> PAGEREF _Toc136353148 \h </w:instrText>
          </w:r>
          <w:r>
            <w:fldChar w:fldCharType="separate"/>
          </w:r>
          <w:r>
            <w:t>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"_Toc136353149" </w:instrText>
          </w:r>
          <w:r>
            <w:fldChar w:fldCharType="separate"/>
          </w:r>
          <w:r>
            <w:rPr>
              <w:rStyle w:val="15"/>
            </w:rPr>
            <w:t>1.3 规划期限</w:t>
          </w:r>
          <w:r>
            <w:tab/>
          </w:r>
          <w:r>
            <w:fldChar w:fldCharType="begin"/>
          </w:r>
          <w:r>
            <w:instrText xml:space="preserve"> PAGEREF _Toc136353149 \h </w:instrText>
          </w:r>
          <w:r>
            <w:fldChar w:fldCharType="separate"/>
          </w:r>
          <w:r>
            <w:t>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"_Toc136353150" </w:instrText>
          </w:r>
          <w:r>
            <w:fldChar w:fldCharType="separate"/>
          </w:r>
          <w:r>
            <w:rPr>
              <w:rStyle w:val="15"/>
            </w:rPr>
            <w:t>1.4 规划原则</w:t>
          </w:r>
          <w:r>
            <w:tab/>
          </w:r>
          <w:r>
            <w:fldChar w:fldCharType="begin"/>
          </w:r>
          <w:r>
            <w:instrText xml:space="preserve"> PAGEREF _Toc136353150 \h </w:instrText>
          </w:r>
          <w:r>
            <w:fldChar w:fldCharType="separate"/>
          </w:r>
          <w:r>
            <w:t>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"_Toc136353151" </w:instrText>
          </w:r>
          <w:r>
            <w:fldChar w:fldCharType="separate"/>
          </w:r>
          <w:r>
            <w:rPr>
              <w:rStyle w:val="15"/>
            </w:rPr>
            <w:t>1.5 规划依据</w:t>
          </w:r>
          <w:r>
            <w:tab/>
          </w:r>
          <w:r>
            <w:fldChar w:fldCharType="begin"/>
          </w:r>
          <w:r>
            <w:instrText xml:space="preserve"> PAGEREF _Toc136353151 \h </w:instrText>
          </w:r>
          <w:r>
            <w:fldChar w:fldCharType="separate"/>
          </w:r>
          <w:r>
            <w:t>5</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"_Toc136353152" </w:instrText>
          </w:r>
          <w:r>
            <w:fldChar w:fldCharType="separate"/>
          </w:r>
          <w:r>
            <w:rPr>
              <w:rStyle w:val="15"/>
            </w:rPr>
            <w:t>2 区域概况</w:t>
          </w:r>
          <w:r>
            <w:tab/>
          </w:r>
          <w:r>
            <w:fldChar w:fldCharType="begin"/>
          </w:r>
          <w:r>
            <w:instrText xml:space="preserve"> PAGEREF _Toc136353152 \h </w:instrText>
          </w:r>
          <w:r>
            <w:fldChar w:fldCharType="separate"/>
          </w:r>
          <w:r>
            <w:t>7</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"_Toc136353153" </w:instrText>
          </w:r>
          <w:r>
            <w:fldChar w:fldCharType="separate"/>
          </w:r>
          <w:r>
            <w:rPr>
              <w:rStyle w:val="15"/>
            </w:rPr>
            <w:t>2.1 社会经济发展概况</w:t>
          </w:r>
          <w:r>
            <w:tab/>
          </w:r>
          <w:r>
            <w:fldChar w:fldCharType="begin"/>
          </w:r>
          <w:r>
            <w:instrText xml:space="preserve"> PAGEREF _Toc136353153 \h </w:instrText>
          </w:r>
          <w:r>
            <w:fldChar w:fldCharType="separate"/>
          </w:r>
          <w:r>
            <w:t>7</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"_Toc136353154" </w:instrText>
          </w:r>
          <w:r>
            <w:fldChar w:fldCharType="separate"/>
          </w:r>
          <w:r>
            <w:rPr>
              <w:rStyle w:val="15"/>
            </w:rPr>
            <w:t>2.1.1 区位交通</w:t>
          </w:r>
          <w:r>
            <w:tab/>
          </w:r>
          <w:r>
            <w:fldChar w:fldCharType="begin"/>
          </w:r>
          <w:r>
            <w:instrText xml:space="preserve"> PAGEREF _Toc136353154 \h </w:instrText>
          </w:r>
          <w:r>
            <w:fldChar w:fldCharType="separate"/>
          </w:r>
          <w:r>
            <w:t>7</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"_Toc136353155" </w:instrText>
          </w:r>
          <w:r>
            <w:fldChar w:fldCharType="separate"/>
          </w:r>
          <w:r>
            <w:rPr>
              <w:rStyle w:val="15"/>
            </w:rPr>
            <w:t>2.1.2 经济发展</w:t>
          </w:r>
          <w:r>
            <w:tab/>
          </w:r>
          <w:r>
            <w:fldChar w:fldCharType="begin"/>
          </w:r>
          <w:r>
            <w:instrText xml:space="preserve"> PAGEREF _Toc136353155 \h </w:instrText>
          </w:r>
          <w:r>
            <w:fldChar w:fldCharType="separate"/>
          </w:r>
          <w:r>
            <w:t>7</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"_Toc136353156" </w:instrText>
          </w:r>
          <w:r>
            <w:fldChar w:fldCharType="separate"/>
          </w:r>
          <w:r>
            <w:rPr>
              <w:rStyle w:val="15"/>
            </w:rPr>
            <w:t>2.2 危险化学品经营现状</w:t>
          </w:r>
          <w:r>
            <w:tab/>
          </w:r>
          <w:r>
            <w:fldChar w:fldCharType="begin"/>
          </w:r>
          <w:r>
            <w:instrText xml:space="preserve"> PAGEREF _Toc136353156 \h </w:instrText>
          </w:r>
          <w:r>
            <w:fldChar w:fldCharType="separate"/>
          </w:r>
          <w:r>
            <w:t>7</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"_Toc136353157" </w:instrText>
          </w:r>
          <w:r>
            <w:fldChar w:fldCharType="separate"/>
          </w:r>
          <w:r>
            <w:rPr>
              <w:rStyle w:val="15"/>
            </w:rPr>
            <w:t>2.3 危险化学品监管现状</w:t>
          </w:r>
          <w:r>
            <w:tab/>
          </w:r>
          <w:r>
            <w:fldChar w:fldCharType="begin"/>
          </w:r>
          <w:r>
            <w:instrText xml:space="preserve"> PAGEREF _Toc136353157 \h </w:instrText>
          </w:r>
          <w:r>
            <w:fldChar w:fldCharType="separate"/>
          </w:r>
          <w:r>
            <w:t>8</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"_Toc136353158" </w:instrText>
          </w:r>
          <w:r>
            <w:fldChar w:fldCharType="separate"/>
          </w:r>
          <w:r>
            <w:rPr>
              <w:rStyle w:val="15"/>
            </w:rPr>
            <w:t>2.3.1 危险化学品安全监管体系与手段</w:t>
          </w:r>
          <w:r>
            <w:tab/>
          </w:r>
          <w:r>
            <w:fldChar w:fldCharType="begin"/>
          </w:r>
          <w:r>
            <w:instrText xml:space="preserve"> PAGEREF _Toc136353158 \h </w:instrText>
          </w:r>
          <w:r>
            <w:fldChar w:fldCharType="separate"/>
          </w:r>
          <w:r>
            <w:t>8</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"_Toc136353159" </w:instrText>
          </w:r>
          <w:r>
            <w:fldChar w:fldCharType="separate"/>
          </w:r>
          <w:r>
            <w:rPr>
              <w:rStyle w:val="15"/>
            </w:rPr>
            <w:t>2.3.2 危险化学品应急救援能力</w:t>
          </w:r>
          <w:r>
            <w:tab/>
          </w:r>
          <w:r>
            <w:fldChar w:fldCharType="begin"/>
          </w:r>
          <w:r>
            <w:instrText xml:space="preserve"> PAGEREF _Toc136353159 \h </w:instrText>
          </w:r>
          <w:r>
            <w:fldChar w:fldCharType="separate"/>
          </w:r>
          <w:r>
            <w:t>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"_Toc136353160" </w:instrText>
          </w:r>
          <w:r>
            <w:fldChar w:fldCharType="separate"/>
          </w:r>
          <w:r>
            <w:rPr>
              <w:rStyle w:val="15"/>
            </w:rPr>
            <w:t>2.4 危险化学品经营安全发展存在的问题</w:t>
          </w:r>
          <w:r>
            <w:tab/>
          </w:r>
          <w:r>
            <w:fldChar w:fldCharType="begin"/>
          </w:r>
          <w:r>
            <w:instrText xml:space="preserve"> PAGEREF _Toc136353160 \h </w:instrText>
          </w:r>
          <w:r>
            <w:fldChar w:fldCharType="separate"/>
          </w:r>
          <w:r>
            <w:t>9</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"_Toc136353161" </w:instrText>
          </w:r>
          <w:r>
            <w:fldChar w:fldCharType="separate"/>
          </w:r>
          <w:r>
            <w:rPr>
              <w:rStyle w:val="15"/>
            </w:rPr>
            <w:t>3 危险化学品需求分析</w:t>
          </w:r>
          <w:r>
            <w:tab/>
          </w:r>
          <w:r>
            <w:fldChar w:fldCharType="begin"/>
          </w:r>
          <w:r>
            <w:instrText xml:space="preserve"> PAGEREF _Toc136353161 \h </w:instrText>
          </w:r>
          <w:r>
            <w:fldChar w:fldCharType="separate"/>
          </w:r>
          <w:r>
            <w:t>11</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"_Toc136353162" </w:instrText>
          </w:r>
          <w:r>
            <w:fldChar w:fldCharType="separate"/>
          </w:r>
          <w:r>
            <w:rPr>
              <w:rStyle w:val="15"/>
            </w:rPr>
            <w:t>3.1 市场需求分析</w:t>
          </w:r>
          <w:r>
            <w:tab/>
          </w:r>
          <w:r>
            <w:fldChar w:fldCharType="begin"/>
          </w:r>
          <w:r>
            <w:instrText xml:space="preserve"> PAGEREF _Toc136353162 \h </w:instrText>
          </w:r>
          <w:r>
            <w:fldChar w:fldCharType="separate"/>
          </w:r>
          <w:r>
            <w:t>11</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"_Toc136353163" </w:instrText>
          </w:r>
          <w:r>
            <w:fldChar w:fldCharType="separate"/>
          </w:r>
          <w:r>
            <w:rPr>
              <w:rStyle w:val="15"/>
            </w:rPr>
            <w:t>3.2 储存需求分析</w:t>
          </w:r>
          <w:r>
            <w:tab/>
          </w:r>
          <w:r>
            <w:fldChar w:fldCharType="begin"/>
          </w:r>
          <w:r>
            <w:instrText xml:space="preserve"> PAGEREF _Toc136353163 \h </w:instrText>
          </w:r>
          <w:r>
            <w:fldChar w:fldCharType="separate"/>
          </w:r>
          <w:r>
            <w:t>12</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"_Toc136353164" </w:instrText>
          </w:r>
          <w:r>
            <w:fldChar w:fldCharType="separate"/>
          </w:r>
          <w:r>
            <w:rPr>
              <w:rStyle w:val="15"/>
            </w:rPr>
            <w:t>4 指导思想和规划目标</w:t>
          </w:r>
          <w:r>
            <w:tab/>
          </w:r>
          <w:r>
            <w:fldChar w:fldCharType="begin"/>
          </w:r>
          <w:r>
            <w:instrText xml:space="preserve"> PAGEREF _Toc136353164 \h </w:instrText>
          </w:r>
          <w:r>
            <w:fldChar w:fldCharType="separate"/>
          </w:r>
          <w:r>
            <w:t>14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"_Toc136353165" </w:instrText>
          </w:r>
          <w:r>
            <w:fldChar w:fldCharType="separate"/>
          </w:r>
          <w:r>
            <w:rPr>
              <w:rStyle w:val="15"/>
            </w:rPr>
            <w:t>4.1 指导思想</w:t>
          </w:r>
          <w:r>
            <w:tab/>
          </w:r>
          <w:r>
            <w:fldChar w:fldCharType="begin"/>
          </w:r>
          <w:r>
            <w:instrText xml:space="preserve"> PAGEREF _Toc136353165 \h </w:instrText>
          </w:r>
          <w:r>
            <w:fldChar w:fldCharType="separate"/>
          </w:r>
          <w:r>
            <w:t>14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"_Toc136353166" </w:instrText>
          </w:r>
          <w:r>
            <w:fldChar w:fldCharType="separate"/>
          </w:r>
          <w:r>
            <w:rPr>
              <w:rStyle w:val="15"/>
            </w:rPr>
            <w:t>4.2 规划目标</w:t>
          </w:r>
          <w:r>
            <w:tab/>
          </w:r>
          <w:r>
            <w:fldChar w:fldCharType="begin"/>
          </w:r>
          <w:r>
            <w:instrText xml:space="preserve"> PAGEREF _Toc136353166 \h </w:instrText>
          </w:r>
          <w:r>
            <w:fldChar w:fldCharType="separate"/>
          </w:r>
          <w:r>
            <w:t>14</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"_Toc136353167" </w:instrText>
          </w:r>
          <w:r>
            <w:fldChar w:fldCharType="separate"/>
          </w:r>
          <w:r>
            <w:rPr>
              <w:rStyle w:val="15"/>
            </w:rPr>
            <w:t>5 危险化学品经营布局规划</w:t>
          </w:r>
          <w:r>
            <w:tab/>
          </w:r>
          <w:r>
            <w:fldChar w:fldCharType="begin"/>
          </w:r>
          <w:r>
            <w:instrText xml:space="preserve"> PAGEREF _Toc136353167 \h </w:instrText>
          </w:r>
          <w:r>
            <w:fldChar w:fldCharType="separate"/>
          </w:r>
          <w:r>
            <w:t>15</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"_Toc136353168" </w:instrText>
          </w:r>
          <w:r>
            <w:fldChar w:fldCharType="separate"/>
          </w:r>
          <w:r>
            <w:rPr>
              <w:rStyle w:val="15"/>
            </w:rPr>
            <w:t>5.1 经营定位</w:t>
          </w:r>
          <w:r>
            <w:tab/>
          </w:r>
          <w:r>
            <w:fldChar w:fldCharType="begin"/>
          </w:r>
          <w:r>
            <w:instrText xml:space="preserve"> PAGEREF _Toc136353168 \h </w:instrText>
          </w:r>
          <w:r>
            <w:fldChar w:fldCharType="separate"/>
          </w:r>
          <w:r>
            <w:t>15</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"_Toc136353169" </w:instrText>
          </w:r>
          <w:r>
            <w:fldChar w:fldCharType="separate"/>
          </w:r>
          <w:r>
            <w:rPr>
              <w:rStyle w:val="15"/>
            </w:rPr>
            <w:t>5.2 布局原则</w:t>
          </w:r>
          <w:r>
            <w:tab/>
          </w:r>
          <w:r>
            <w:fldChar w:fldCharType="begin"/>
          </w:r>
          <w:r>
            <w:instrText xml:space="preserve"> PAGEREF _Toc136353169 \h </w:instrText>
          </w:r>
          <w:r>
            <w:fldChar w:fldCharType="separate"/>
          </w:r>
          <w:r>
            <w:t>15</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"_Toc136353170" </w:instrText>
          </w:r>
          <w:r>
            <w:fldChar w:fldCharType="separate"/>
          </w:r>
          <w:r>
            <w:rPr>
              <w:rStyle w:val="15"/>
            </w:rPr>
            <w:t>5.3 危险化学品仓储设施总体布局</w:t>
          </w:r>
          <w:r>
            <w:tab/>
          </w:r>
          <w:r>
            <w:fldChar w:fldCharType="begin"/>
          </w:r>
          <w:r>
            <w:instrText xml:space="preserve"> PAGEREF _Toc136353170 \h </w:instrText>
          </w:r>
          <w:r>
            <w:fldChar w:fldCharType="separate"/>
          </w:r>
          <w:r>
            <w:t>15</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"_Toc136353171" </w:instrText>
          </w:r>
          <w:r>
            <w:fldChar w:fldCharType="separate"/>
          </w:r>
          <w:r>
            <w:rPr>
              <w:rStyle w:val="15"/>
            </w:rPr>
            <w:t>5.4 危险化学品集中仓储布局</w:t>
          </w:r>
          <w:r>
            <w:tab/>
          </w:r>
          <w:r>
            <w:fldChar w:fldCharType="begin"/>
          </w:r>
          <w:r>
            <w:instrText xml:space="preserve"> PAGEREF _Toc136353171 \h </w:instrText>
          </w:r>
          <w:r>
            <w:fldChar w:fldCharType="separate"/>
          </w:r>
          <w:r>
            <w:t>17</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"_Toc136353172" </w:instrText>
          </w:r>
          <w:r>
            <w:fldChar w:fldCharType="separate"/>
          </w:r>
          <w:r>
            <w:rPr>
              <w:rStyle w:val="15"/>
            </w:rPr>
            <w:t>5.5 危险化学品经营网点布局</w:t>
          </w:r>
          <w:r>
            <w:tab/>
          </w:r>
          <w:r>
            <w:fldChar w:fldCharType="begin"/>
          </w:r>
          <w:r>
            <w:instrText xml:space="preserve"> PAGEREF _Toc136353172 \h </w:instrText>
          </w:r>
          <w:r>
            <w:fldChar w:fldCharType="separate"/>
          </w:r>
          <w:r>
            <w:t>17</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"_Toc136353173" </w:instrText>
          </w:r>
          <w:r>
            <w:fldChar w:fldCharType="separate"/>
          </w:r>
          <w:r>
            <w:rPr>
              <w:rStyle w:val="15"/>
            </w:rPr>
            <w:t>6 事故应急救援体系及设施规划</w:t>
          </w:r>
          <w:r>
            <w:tab/>
          </w:r>
          <w:r>
            <w:fldChar w:fldCharType="begin"/>
          </w:r>
          <w:r>
            <w:instrText xml:space="preserve"> PAGEREF _Toc136353173 \h </w:instrText>
          </w:r>
          <w:r>
            <w:fldChar w:fldCharType="separate"/>
          </w:r>
          <w:r>
            <w:t>19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"_Toc136353174" </w:instrText>
          </w:r>
          <w:r>
            <w:fldChar w:fldCharType="separate"/>
          </w:r>
          <w:r>
            <w:rPr>
              <w:rStyle w:val="15"/>
            </w:rPr>
            <w:t>6.1 完善应急预案体系</w:t>
          </w:r>
          <w:r>
            <w:tab/>
          </w:r>
          <w:r>
            <w:fldChar w:fldCharType="begin"/>
          </w:r>
          <w:r>
            <w:instrText xml:space="preserve"> PAGEREF _Toc136353174 \h </w:instrText>
          </w:r>
          <w:r>
            <w:fldChar w:fldCharType="separate"/>
          </w:r>
          <w:r>
            <w:t>19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"_Toc136353175" </w:instrText>
          </w:r>
          <w:r>
            <w:fldChar w:fldCharType="separate"/>
          </w:r>
          <w:r>
            <w:rPr>
              <w:rStyle w:val="15"/>
            </w:rPr>
            <w:t>6.2 推进应急救援设施和队伍建设</w:t>
          </w:r>
          <w:r>
            <w:tab/>
          </w:r>
          <w:r>
            <w:fldChar w:fldCharType="begin"/>
          </w:r>
          <w:r>
            <w:instrText xml:space="preserve"> PAGEREF _Toc136353175 \h </w:instrText>
          </w:r>
          <w:r>
            <w:fldChar w:fldCharType="separate"/>
          </w:r>
          <w:r>
            <w:t>19</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"_Toc136353176" </w:instrText>
          </w:r>
          <w:r>
            <w:fldChar w:fldCharType="separate"/>
          </w:r>
          <w:r>
            <w:rPr>
              <w:rStyle w:val="15"/>
            </w:rPr>
            <w:t>7 规划的主要任务</w:t>
          </w:r>
          <w:r>
            <w:tab/>
          </w:r>
          <w:r>
            <w:fldChar w:fldCharType="begin"/>
          </w:r>
          <w:r>
            <w:instrText xml:space="preserve"> PAGEREF _Toc136353176 \h </w:instrText>
          </w:r>
          <w:r>
            <w:fldChar w:fldCharType="separate"/>
          </w:r>
          <w:r>
            <w:t>20</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"_Toc136353177" </w:instrText>
          </w:r>
          <w:r>
            <w:fldChar w:fldCharType="separate"/>
          </w:r>
          <w:r>
            <w:rPr>
              <w:rStyle w:val="15"/>
            </w:rPr>
            <w:t>7.1 建设集中共享仓库</w:t>
          </w:r>
          <w:r>
            <w:tab/>
          </w:r>
          <w:r>
            <w:fldChar w:fldCharType="begin"/>
          </w:r>
          <w:r>
            <w:instrText xml:space="preserve"> PAGEREF _Toc136353177 \h </w:instrText>
          </w:r>
          <w:r>
            <w:fldChar w:fldCharType="separate"/>
          </w:r>
          <w:r>
            <w:t>20</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"_Toc136353178" </w:instrText>
          </w:r>
          <w:r>
            <w:fldChar w:fldCharType="separate"/>
          </w:r>
          <w:r>
            <w:rPr>
              <w:rStyle w:val="15"/>
            </w:rPr>
            <w:t>7.2 创新经营配送模式</w:t>
          </w:r>
          <w:r>
            <w:tab/>
          </w:r>
          <w:r>
            <w:fldChar w:fldCharType="begin"/>
          </w:r>
          <w:r>
            <w:instrText xml:space="preserve"> PAGEREF _Toc136353178 \h </w:instrText>
          </w:r>
          <w:r>
            <w:fldChar w:fldCharType="separate"/>
          </w:r>
          <w:r>
            <w:t>20</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"_Toc136353179" </w:instrText>
          </w:r>
          <w:r>
            <w:fldChar w:fldCharType="separate"/>
          </w:r>
          <w:r>
            <w:rPr>
              <w:rStyle w:val="15"/>
            </w:rPr>
            <w:t>7.3 设置车辆停放场所</w:t>
          </w:r>
          <w:r>
            <w:tab/>
          </w:r>
          <w:r>
            <w:fldChar w:fldCharType="begin"/>
          </w:r>
          <w:r>
            <w:instrText xml:space="preserve"> PAGEREF _Toc136353179 \h </w:instrText>
          </w:r>
          <w:r>
            <w:fldChar w:fldCharType="separate"/>
          </w:r>
          <w:r>
            <w:t>20</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"_Toc136353180" </w:instrText>
          </w:r>
          <w:r>
            <w:fldChar w:fldCharType="separate"/>
          </w:r>
          <w:r>
            <w:rPr>
              <w:rStyle w:val="15"/>
            </w:rPr>
            <w:t>7.4 严格经营准入条件</w:t>
          </w:r>
          <w:r>
            <w:tab/>
          </w:r>
          <w:r>
            <w:fldChar w:fldCharType="begin"/>
          </w:r>
          <w:r>
            <w:instrText xml:space="preserve"> PAGEREF _Toc136353180 \h </w:instrText>
          </w:r>
          <w:r>
            <w:fldChar w:fldCharType="separate"/>
          </w:r>
          <w:r>
            <w:t>21</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"_Toc136353181" </w:instrText>
          </w:r>
          <w:r>
            <w:fldChar w:fldCharType="separate"/>
          </w:r>
          <w:r>
            <w:rPr>
              <w:rStyle w:val="15"/>
            </w:rPr>
            <w:t>7.5 防范重大安全风险</w:t>
          </w:r>
          <w:r>
            <w:tab/>
          </w:r>
          <w:r>
            <w:fldChar w:fldCharType="begin"/>
          </w:r>
          <w:r>
            <w:instrText xml:space="preserve"> PAGEREF _Toc136353181 \h </w:instrText>
          </w:r>
          <w:r>
            <w:fldChar w:fldCharType="separate"/>
          </w:r>
          <w:r>
            <w:t>21</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"_Toc136353182" </w:instrText>
          </w:r>
          <w:r>
            <w:fldChar w:fldCharType="separate"/>
          </w:r>
          <w:r>
            <w:rPr>
              <w:rStyle w:val="15"/>
            </w:rPr>
            <w:t>7.6 配强安全监管力量</w:t>
          </w:r>
          <w:r>
            <w:tab/>
          </w:r>
          <w:r>
            <w:fldChar w:fldCharType="begin"/>
          </w:r>
          <w:r>
            <w:instrText xml:space="preserve"> PAGEREF _Toc136353182 \h </w:instrText>
          </w:r>
          <w:r>
            <w:fldChar w:fldCharType="separate"/>
          </w:r>
          <w:r>
            <w:t>21</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"_Toc136353183" </w:instrText>
          </w:r>
          <w:r>
            <w:fldChar w:fldCharType="separate"/>
          </w:r>
          <w:r>
            <w:rPr>
              <w:rStyle w:val="15"/>
            </w:rPr>
            <w:t>7.7 强化数字技术赋能</w:t>
          </w:r>
          <w:r>
            <w:tab/>
          </w:r>
          <w:r>
            <w:fldChar w:fldCharType="begin"/>
          </w:r>
          <w:r>
            <w:instrText xml:space="preserve"> PAGEREF _Toc136353183 \h </w:instrText>
          </w:r>
          <w:r>
            <w:fldChar w:fldCharType="separate"/>
          </w:r>
          <w:r>
            <w:t>22</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"_Toc136353184" </w:instrText>
          </w:r>
          <w:r>
            <w:fldChar w:fldCharType="separate"/>
          </w:r>
          <w:r>
            <w:rPr>
              <w:rStyle w:val="15"/>
              <w:snapToGrid w:val="0"/>
            </w:rPr>
            <w:t>7.8 加强人员教育培训</w:t>
          </w:r>
          <w:r>
            <w:tab/>
          </w:r>
          <w:r>
            <w:fldChar w:fldCharType="begin"/>
          </w:r>
          <w:r>
            <w:instrText xml:space="preserve"> PAGEREF _Toc136353184 \h </w:instrText>
          </w:r>
          <w:r>
            <w:fldChar w:fldCharType="separate"/>
          </w:r>
          <w:r>
            <w:t>22</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"_Toc136353185" </w:instrText>
          </w:r>
          <w:r>
            <w:fldChar w:fldCharType="separate"/>
          </w:r>
          <w:r>
            <w:rPr>
              <w:rStyle w:val="15"/>
            </w:rPr>
            <w:t>8 重点工程</w:t>
          </w:r>
          <w:r>
            <w:tab/>
          </w:r>
          <w:r>
            <w:fldChar w:fldCharType="begin"/>
          </w:r>
          <w:r>
            <w:instrText xml:space="preserve"> PAGEREF _Toc136353185 \h </w:instrText>
          </w:r>
          <w:r>
            <w:fldChar w:fldCharType="separate"/>
          </w:r>
          <w:r>
            <w:t>24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"_Toc136353186" </w:instrText>
          </w:r>
          <w:r>
            <w:fldChar w:fldCharType="separate"/>
          </w:r>
          <w:r>
            <w:rPr>
              <w:rStyle w:val="15"/>
            </w:rPr>
            <w:t>8.1 危险化学品集中仓库建设工程</w:t>
          </w:r>
          <w:r>
            <w:tab/>
          </w:r>
          <w:r>
            <w:fldChar w:fldCharType="begin"/>
          </w:r>
          <w:r>
            <w:instrText xml:space="preserve"> PAGEREF _Toc136353186 \h </w:instrText>
          </w:r>
          <w:r>
            <w:fldChar w:fldCharType="separate"/>
          </w:r>
          <w:r>
            <w:t>24</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"_Toc136353187" </w:instrText>
          </w:r>
          <w:r>
            <w:fldChar w:fldCharType="separate"/>
          </w:r>
          <w:r>
            <w:rPr>
              <w:rStyle w:val="15"/>
            </w:rPr>
            <w:t>8.1.1 选址地块</w:t>
          </w:r>
          <w:r>
            <w:tab/>
          </w:r>
          <w:r>
            <w:fldChar w:fldCharType="begin"/>
          </w:r>
          <w:r>
            <w:instrText xml:space="preserve"> PAGEREF _Toc136353187 \h </w:instrText>
          </w:r>
          <w:r>
            <w:fldChar w:fldCharType="separate"/>
          </w:r>
          <w:r>
            <w:t>24</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"_Toc136353188" </w:instrText>
          </w:r>
          <w:r>
            <w:fldChar w:fldCharType="separate"/>
          </w:r>
          <w:r>
            <w:rPr>
              <w:rStyle w:val="15"/>
            </w:rPr>
            <w:t>8.1.2 用地规划符合性</w:t>
          </w:r>
          <w:r>
            <w:tab/>
          </w:r>
          <w:r>
            <w:fldChar w:fldCharType="begin"/>
          </w:r>
          <w:r>
            <w:instrText xml:space="preserve"> PAGEREF _Toc136353188 \h </w:instrText>
          </w:r>
          <w:r>
            <w:fldChar w:fldCharType="separate"/>
          </w:r>
          <w:r>
            <w:t>24</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"_Toc136353189" </w:instrText>
          </w:r>
          <w:r>
            <w:fldChar w:fldCharType="separate"/>
          </w:r>
          <w:r>
            <w:rPr>
              <w:rStyle w:val="15"/>
            </w:rPr>
            <w:t>8.1.3 选址符合性</w:t>
          </w:r>
          <w:r>
            <w:tab/>
          </w:r>
          <w:r>
            <w:fldChar w:fldCharType="begin"/>
          </w:r>
          <w:r>
            <w:instrText xml:space="preserve"> PAGEREF _Toc136353189 \h </w:instrText>
          </w:r>
          <w:r>
            <w:fldChar w:fldCharType="separate"/>
          </w:r>
          <w:r>
            <w:t>24</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"_Toc136353190" </w:instrText>
          </w:r>
          <w:r>
            <w:fldChar w:fldCharType="separate"/>
          </w:r>
          <w:r>
            <w:rPr>
              <w:rStyle w:val="15"/>
            </w:rPr>
            <w:t>8.1.4 安全风险识别</w:t>
          </w:r>
          <w:r>
            <w:tab/>
          </w:r>
          <w:r>
            <w:fldChar w:fldCharType="begin"/>
          </w:r>
          <w:r>
            <w:instrText xml:space="preserve"> PAGEREF _Toc136353190 \h </w:instrText>
          </w:r>
          <w:r>
            <w:fldChar w:fldCharType="separate"/>
          </w:r>
          <w:r>
            <w:t>25</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"_Toc136353191" </w:instrText>
          </w:r>
          <w:r>
            <w:fldChar w:fldCharType="separate"/>
          </w:r>
          <w:r>
            <w:rPr>
              <w:rStyle w:val="15"/>
            </w:rPr>
            <w:t>8.1.5 风险管控措施</w:t>
          </w:r>
          <w:r>
            <w:tab/>
          </w:r>
          <w:r>
            <w:fldChar w:fldCharType="begin"/>
          </w:r>
          <w:r>
            <w:instrText xml:space="preserve"> PAGEREF _Toc136353191 \h </w:instrText>
          </w:r>
          <w:r>
            <w:fldChar w:fldCharType="separate"/>
          </w:r>
          <w:r>
            <w:t>26</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"_Toc136353192" </w:instrText>
          </w:r>
          <w:r>
            <w:fldChar w:fldCharType="separate"/>
          </w:r>
          <w:r>
            <w:rPr>
              <w:rStyle w:val="15"/>
            </w:rPr>
            <w:t>8.2 循环经济园区危险化学品储存设施建设工程</w:t>
          </w:r>
          <w:r>
            <w:tab/>
          </w:r>
          <w:r>
            <w:fldChar w:fldCharType="begin"/>
          </w:r>
          <w:r>
            <w:instrText xml:space="preserve"> PAGEREF _Toc136353192 \h </w:instrText>
          </w:r>
          <w:r>
            <w:fldChar w:fldCharType="separate"/>
          </w:r>
          <w:r>
            <w:t>27</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"_Toc136353193" </w:instrText>
          </w:r>
          <w:r>
            <w:fldChar w:fldCharType="separate"/>
          </w:r>
          <w:r>
            <w:rPr>
              <w:rStyle w:val="15"/>
            </w:rPr>
            <w:t>8.2.1 选址地块</w:t>
          </w:r>
          <w:r>
            <w:tab/>
          </w:r>
          <w:r>
            <w:fldChar w:fldCharType="begin"/>
          </w:r>
          <w:r>
            <w:instrText xml:space="preserve"> PAGEREF _Toc136353193 \h </w:instrText>
          </w:r>
          <w:r>
            <w:fldChar w:fldCharType="separate"/>
          </w:r>
          <w:r>
            <w:t>27</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"_Toc136353194" </w:instrText>
          </w:r>
          <w:r>
            <w:fldChar w:fldCharType="separate"/>
          </w:r>
          <w:r>
            <w:rPr>
              <w:rStyle w:val="15"/>
            </w:rPr>
            <w:t>8.2.2 用地规划符合性</w:t>
          </w:r>
          <w:r>
            <w:tab/>
          </w:r>
          <w:r>
            <w:fldChar w:fldCharType="begin"/>
          </w:r>
          <w:r>
            <w:instrText xml:space="preserve"> PAGEREF _Toc136353194 \h </w:instrText>
          </w:r>
          <w:r>
            <w:fldChar w:fldCharType="separate"/>
          </w:r>
          <w:r>
            <w:t>28</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"_Toc136353195" </w:instrText>
          </w:r>
          <w:r>
            <w:fldChar w:fldCharType="separate"/>
          </w:r>
          <w:r>
            <w:rPr>
              <w:rStyle w:val="15"/>
            </w:rPr>
            <w:t>8.2.3 选址符合性</w:t>
          </w:r>
          <w:r>
            <w:tab/>
          </w:r>
          <w:r>
            <w:fldChar w:fldCharType="begin"/>
          </w:r>
          <w:r>
            <w:instrText xml:space="preserve"> PAGEREF _Toc136353195 \h </w:instrText>
          </w:r>
          <w:r>
            <w:fldChar w:fldCharType="separate"/>
          </w:r>
          <w:r>
            <w:t>28</w:t>
          </w:r>
          <w:r>
            <w:fldChar w:fldCharType="end"/>
          </w:r>
          <w:r>
            <w:fldChar w:fldCharType="end"/>
          </w:r>
        </w:p>
        <w:p>
          <w:pPr>
            <w:pStyle w:val="6"/>
            <w:tabs>
              <w:tab w:val="right" w:leader="dot" w:pos="8296"/>
            </w:tabs>
            <w:ind w:left="1120"/>
            <w:rPr>
              <w:rFonts w:asciiTheme="minorHAnsi" w:hAnsiTheme="minorHAnsi" w:eastAsiaTheme="minorEastAsia"/>
              <w:sz w:val="21"/>
              <w14:ligatures w14:val="standardContextual"/>
            </w:rPr>
          </w:pPr>
          <w:r>
            <w:fldChar w:fldCharType="begin"/>
          </w:r>
          <w:r>
            <w:instrText xml:space="preserve"> HYPERLINK \l "_Toc136353196" </w:instrText>
          </w:r>
          <w:r>
            <w:fldChar w:fldCharType="separate"/>
          </w:r>
          <w:r>
            <w:rPr>
              <w:rStyle w:val="15"/>
            </w:rPr>
            <w:t>8.2.4 安全风险识别与管控</w:t>
          </w:r>
          <w:r>
            <w:tab/>
          </w:r>
          <w:r>
            <w:fldChar w:fldCharType="begin"/>
          </w:r>
          <w:r>
            <w:instrText xml:space="preserve"> PAGEREF _Toc136353196 \h </w:instrText>
          </w:r>
          <w:r>
            <w:fldChar w:fldCharType="separate"/>
          </w:r>
          <w:r>
            <w:t>28</w:t>
          </w:r>
          <w:r>
            <w:fldChar w:fldCharType="end"/>
          </w:r>
          <w:r>
            <w:fldChar w:fldCharType="end"/>
          </w:r>
        </w:p>
        <w:p>
          <w:pPr>
            <w:pStyle w:val="10"/>
            <w:tabs>
              <w:tab w:val="right" w:leader="dot" w:pos="8296"/>
            </w:tabs>
            <w:rPr>
              <w:rFonts w:asciiTheme="minorHAnsi" w:hAnsiTheme="minorHAnsi" w:eastAsiaTheme="minorEastAsia"/>
              <w:sz w:val="21"/>
              <w14:ligatures w14:val="standardContextual"/>
            </w:rPr>
          </w:pPr>
          <w:r>
            <w:fldChar w:fldCharType="begin"/>
          </w:r>
          <w:r>
            <w:instrText xml:space="preserve"> HYPERLINK \l "_Toc136353197" </w:instrText>
          </w:r>
          <w:r>
            <w:fldChar w:fldCharType="separate"/>
          </w:r>
          <w:r>
            <w:rPr>
              <w:rStyle w:val="15"/>
            </w:rPr>
            <w:t>9 保障措施</w:t>
          </w:r>
          <w:r>
            <w:tab/>
          </w:r>
          <w:r>
            <w:fldChar w:fldCharType="begin"/>
          </w:r>
          <w:r>
            <w:instrText xml:space="preserve"> PAGEREF _Toc136353197 \h </w:instrText>
          </w:r>
          <w:r>
            <w:fldChar w:fldCharType="separate"/>
          </w:r>
          <w:r>
            <w:t>29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"_Toc136353198" </w:instrText>
          </w:r>
          <w:r>
            <w:fldChar w:fldCharType="separate"/>
          </w:r>
          <w:r>
            <w:rPr>
              <w:rStyle w:val="15"/>
            </w:rPr>
            <w:t>9.1 责任体系保障</w:t>
          </w:r>
          <w:r>
            <w:tab/>
          </w:r>
          <w:r>
            <w:fldChar w:fldCharType="begin"/>
          </w:r>
          <w:r>
            <w:instrText xml:space="preserve"> PAGEREF _Toc136353198 \h </w:instrText>
          </w:r>
          <w:r>
            <w:fldChar w:fldCharType="separate"/>
          </w:r>
          <w:r>
            <w:t>29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"_Toc136353199" </w:instrText>
          </w:r>
          <w:r>
            <w:fldChar w:fldCharType="separate"/>
          </w:r>
          <w:r>
            <w:rPr>
              <w:rStyle w:val="15"/>
            </w:rPr>
            <w:t>9.2 空间规划保障</w:t>
          </w:r>
          <w:r>
            <w:tab/>
          </w:r>
          <w:r>
            <w:fldChar w:fldCharType="begin"/>
          </w:r>
          <w:r>
            <w:instrText xml:space="preserve"> PAGEREF _Toc136353199 \h </w:instrText>
          </w:r>
          <w:r>
            <w:fldChar w:fldCharType="separate"/>
          </w:r>
          <w:r>
            <w:t>29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"_Toc136353200" </w:instrText>
          </w:r>
          <w:r>
            <w:fldChar w:fldCharType="separate"/>
          </w:r>
          <w:r>
            <w:rPr>
              <w:rStyle w:val="15"/>
            </w:rPr>
            <w:t>9.3 行政执法保障</w:t>
          </w:r>
          <w:r>
            <w:tab/>
          </w:r>
          <w:r>
            <w:fldChar w:fldCharType="begin"/>
          </w:r>
          <w:r>
            <w:instrText xml:space="preserve"> PAGEREF _Toc136353200 \h </w:instrText>
          </w:r>
          <w:r>
            <w:fldChar w:fldCharType="separate"/>
          </w:r>
          <w:r>
            <w:t>29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"_Toc136353201" </w:instrText>
          </w:r>
          <w:r>
            <w:fldChar w:fldCharType="separate"/>
          </w:r>
          <w:r>
            <w:rPr>
              <w:rStyle w:val="15"/>
            </w:rPr>
            <w:t>9.4 财政资金保障</w:t>
          </w:r>
          <w:r>
            <w:tab/>
          </w:r>
          <w:r>
            <w:fldChar w:fldCharType="begin"/>
          </w:r>
          <w:r>
            <w:instrText xml:space="preserve"> PAGEREF _Toc136353201 \h </w:instrText>
          </w:r>
          <w:r>
            <w:fldChar w:fldCharType="separate"/>
          </w:r>
          <w:r>
            <w:t>29</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"_Toc136353202" </w:instrText>
          </w:r>
          <w:r>
            <w:fldChar w:fldCharType="separate"/>
          </w:r>
          <w:r>
            <w:rPr>
              <w:rStyle w:val="15"/>
            </w:rPr>
            <w:t>9.5 社会宣传保障</w:t>
          </w:r>
          <w:r>
            <w:tab/>
          </w:r>
          <w:r>
            <w:fldChar w:fldCharType="begin"/>
          </w:r>
          <w:r>
            <w:instrText xml:space="preserve"> PAGEREF _Toc136353202 \h </w:instrText>
          </w:r>
          <w:r>
            <w:fldChar w:fldCharType="separate"/>
          </w:r>
          <w:r>
            <w:t>30</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"_Toc136353203" </w:instrText>
          </w:r>
          <w:r>
            <w:fldChar w:fldCharType="separate"/>
          </w:r>
          <w:r>
            <w:rPr>
              <w:rStyle w:val="15"/>
            </w:rPr>
            <w:t>附表 奉化区危险化学品带储存经营、店面零售和部分票据贸易企业基本情况汇总表</w:t>
          </w:r>
          <w:r>
            <w:tab/>
          </w:r>
          <w:r>
            <w:fldChar w:fldCharType="begin"/>
          </w:r>
          <w:r>
            <w:instrText xml:space="preserve"> PAGEREF _Toc136353203 \h </w:instrText>
          </w:r>
          <w:r>
            <w:fldChar w:fldCharType="separate"/>
          </w:r>
          <w:r>
            <w:t>31</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"_Toc136353204" </w:instrText>
          </w:r>
          <w:r>
            <w:fldChar w:fldCharType="separate"/>
          </w:r>
          <w:r>
            <w:rPr>
              <w:rStyle w:val="15"/>
            </w:rPr>
            <w:t>附图1 危险化学品储存设施总体布局图</w:t>
          </w:r>
          <w:r>
            <w:tab/>
          </w:r>
          <w:r>
            <w:fldChar w:fldCharType="begin"/>
          </w:r>
          <w:r>
            <w:instrText xml:space="preserve"> PAGEREF _Toc136353204 \h </w:instrText>
          </w:r>
          <w:r>
            <w:fldChar w:fldCharType="separate"/>
          </w:r>
          <w:r>
            <w:t>33</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"_Toc136353205" </w:instrText>
          </w:r>
          <w:r>
            <w:fldChar w:fldCharType="separate"/>
          </w:r>
          <w:r>
            <w:rPr>
              <w:rStyle w:val="15"/>
            </w:rPr>
            <w:t>附图2 危险化学品集中仓储规划布局图</w:t>
          </w:r>
          <w:r>
            <w:tab/>
          </w:r>
          <w:r>
            <w:fldChar w:fldCharType="begin"/>
          </w:r>
          <w:r>
            <w:instrText xml:space="preserve"> PAGEREF _Toc136353205 \h </w:instrText>
          </w:r>
          <w:r>
            <w:fldChar w:fldCharType="separate"/>
          </w:r>
          <w:r>
            <w:t>34</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"_Toc136353206" </w:instrText>
          </w:r>
          <w:r>
            <w:fldChar w:fldCharType="separate"/>
          </w:r>
          <w:r>
            <w:rPr>
              <w:rStyle w:val="15"/>
            </w:rPr>
            <w:t>附图3 危险化学品带储存经营网点规划布局图</w:t>
          </w:r>
          <w:r>
            <w:tab/>
          </w:r>
          <w:r>
            <w:fldChar w:fldCharType="begin"/>
          </w:r>
          <w:r>
            <w:instrText xml:space="preserve"> PAGEREF _Toc136353206 \h </w:instrText>
          </w:r>
          <w:r>
            <w:fldChar w:fldCharType="separate"/>
          </w:r>
          <w:r>
            <w:t>35</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"_Toc136353207" </w:instrText>
          </w:r>
          <w:r>
            <w:fldChar w:fldCharType="separate"/>
          </w:r>
          <w:r>
            <w:rPr>
              <w:rStyle w:val="15"/>
            </w:rPr>
            <w:t>附图4 奉化区消防救援站点规划分布图</w:t>
          </w:r>
          <w:r>
            <w:tab/>
          </w:r>
          <w:r>
            <w:fldChar w:fldCharType="begin"/>
          </w:r>
          <w:r>
            <w:instrText xml:space="preserve"> PAGEREF _Toc136353207 \h </w:instrText>
          </w:r>
          <w:r>
            <w:fldChar w:fldCharType="separate"/>
          </w:r>
          <w:r>
            <w:t>36</w:t>
          </w:r>
          <w:r>
            <w:fldChar w:fldCharType="end"/>
          </w:r>
          <w:r>
            <w:fldChar w:fldCharType="end"/>
          </w:r>
        </w:p>
        <w:p>
          <w:pPr>
            <w:pStyle w:val="11"/>
            <w:tabs>
              <w:tab w:val="right" w:leader="dot" w:pos="8296"/>
            </w:tabs>
            <w:ind w:left="560"/>
            <w:rPr>
              <w:rFonts w:asciiTheme="minorHAnsi" w:hAnsiTheme="minorHAnsi" w:eastAsiaTheme="minorEastAsia"/>
              <w:sz w:val="21"/>
              <w14:ligatures w14:val="standardContextual"/>
            </w:rPr>
          </w:pPr>
          <w:r>
            <w:fldChar w:fldCharType="begin"/>
          </w:r>
          <w:r>
            <w:instrText xml:space="preserve"> HYPERLINK \l "_Toc136353208" </w:instrText>
          </w:r>
          <w:r>
            <w:fldChar w:fldCharType="separate"/>
          </w:r>
          <w:r>
            <w:rPr>
              <w:rStyle w:val="15"/>
            </w:rPr>
            <w:t>附图5 奉化区主要医疗救援单位分布图</w:t>
          </w:r>
          <w:r>
            <w:tab/>
          </w:r>
          <w:r>
            <w:fldChar w:fldCharType="begin"/>
          </w:r>
          <w:r>
            <w:instrText xml:space="preserve"> PAGEREF _Toc136353208 \h </w:instrText>
          </w:r>
          <w:r>
            <w:fldChar w:fldCharType="separate"/>
          </w:r>
          <w:r>
            <w:t>37</w:t>
          </w:r>
          <w:r>
            <w:fldChar w:fldCharType="end"/>
          </w:r>
          <w:r>
            <w:fldChar w:fldCharType="end"/>
          </w:r>
        </w:p>
        <w:p>
          <w:r>
            <w:rPr>
              <w:b/>
              <w:bCs/>
              <w:lang w:val="zh-CN"/>
            </w:rPr>
            <w:fldChar w:fldCharType="end"/>
          </w:r>
        </w:p>
      </w:sdtContent>
    </w:sdt>
    <w:p>
      <w:pPr>
        <w:pStyle w:val="2"/>
        <w:spacing w:before="156" w:after="156"/>
        <w:jc w:val="center"/>
        <w:sectPr>
          <w:footerReference r:id="rId4" w:type="default"/>
          <w:pgSz w:w="11906" w:h="16838"/>
          <w:pgMar w:top="1440" w:right="1800" w:bottom="1440" w:left="1800" w:header="851" w:footer="992" w:gutter="0"/>
          <w:pgNumType w:fmt="lowerRoman" w:start="1"/>
          <w:cols w:space="425" w:num="1"/>
          <w:docGrid w:type="lines" w:linePitch="312" w:charSpace="0"/>
        </w:sectPr>
      </w:pPr>
    </w:p>
    <w:p>
      <w:pPr>
        <w:pStyle w:val="2"/>
        <w:spacing w:before="156" w:after="156"/>
        <w:jc w:val="center"/>
      </w:pPr>
      <w:bookmarkStart w:id="0" w:name="_Toc136353144"/>
      <w:r>
        <w:rPr>
          <w:rFonts w:hint="eastAsia"/>
        </w:rPr>
        <w:t>术语和定义</w:t>
      </w:r>
      <w:bookmarkEnd w:id="0"/>
    </w:p>
    <w:p>
      <w:pPr>
        <w:jc w:val="center"/>
        <w:rPr>
          <w:rFonts w:ascii="宋体" w:hAnsi="宋体"/>
          <w:b/>
          <w:bCs/>
          <w:sz w:val="36"/>
          <w:szCs w:val="36"/>
        </w:rPr>
      </w:pPr>
    </w:p>
    <w:p>
      <w:pPr>
        <w:overflowPunct w:val="0"/>
        <w:adjustRightInd w:val="0"/>
        <w:snapToGrid w:val="0"/>
        <w:spacing w:line="360" w:lineRule="auto"/>
        <w:ind w:firstLine="560" w:firstLineChars="200"/>
        <w:rPr>
          <w:rFonts w:cs="Times New Roman"/>
          <w:bCs/>
          <w:snapToGrid w:val="0"/>
          <w:kern w:val="0"/>
          <w:szCs w:val="28"/>
        </w:rPr>
      </w:pPr>
      <w:r>
        <w:rPr>
          <w:rFonts w:cs="Times New Roman"/>
          <w:bCs/>
          <w:snapToGrid w:val="0"/>
          <w:kern w:val="0"/>
          <w:szCs w:val="28"/>
        </w:rPr>
        <w:t>【</w:t>
      </w:r>
      <w:r>
        <w:rPr>
          <w:rFonts w:cs="Times New Roman"/>
          <w:b/>
          <w:snapToGrid w:val="0"/>
          <w:kern w:val="0"/>
          <w:szCs w:val="28"/>
        </w:rPr>
        <w:t>危险化学品</w:t>
      </w:r>
      <w:r>
        <w:rPr>
          <w:rFonts w:cs="Times New Roman"/>
          <w:bCs/>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具有毒害、腐蚀、爆炸、燃烧、助燃等性质，对人体、设施、环境具有危害的剧毒化学品和其他化学品</w:t>
      </w:r>
      <w:r>
        <w:rPr>
          <w:rFonts w:hint="eastAsia" w:cs="Times New Roman"/>
          <w:snapToGrid w:val="0"/>
          <w:kern w:val="0"/>
          <w:szCs w:val="28"/>
        </w:rPr>
        <w:t>，简称危化品。</w:t>
      </w:r>
    </w:p>
    <w:p>
      <w:pPr>
        <w:shd w:val="clear" w:color="auto" w:fill="FFFFFF"/>
        <w:overflowPunct w:val="0"/>
        <w:adjustRightInd w:val="0"/>
        <w:snapToGrid w:val="0"/>
        <w:spacing w:line="360" w:lineRule="auto"/>
        <w:ind w:firstLine="420" w:firstLineChars="200"/>
        <w:textAlignment w:val="baseline"/>
        <w:rPr>
          <w:rFonts w:cs="Times New Roman"/>
          <w:snapToGrid w:val="0"/>
          <w:sz w:val="21"/>
          <w:szCs w:val="21"/>
        </w:rPr>
      </w:pPr>
      <w:r>
        <w:rPr>
          <w:rFonts w:cs="Times New Roman"/>
          <w:snapToGrid w:val="0"/>
          <w:sz w:val="21"/>
          <w:szCs w:val="21"/>
        </w:rPr>
        <w:t>注：危险化学品按下列原则确定：</w:t>
      </w:r>
    </w:p>
    <w:p>
      <w:pPr>
        <w:shd w:val="clear" w:color="auto" w:fill="FFFFFF"/>
        <w:overflowPunct w:val="0"/>
        <w:adjustRightInd w:val="0"/>
        <w:snapToGrid w:val="0"/>
        <w:spacing w:line="360" w:lineRule="auto"/>
        <w:ind w:firstLine="420" w:firstLineChars="200"/>
        <w:textAlignment w:val="baseline"/>
        <w:rPr>
          <w:rFonts w:cs="Times New Roman"/>
          <w:snapToGrid w:val="0"/>
          <w:sz w:val="21"/>
          <w:szCs w:val="21"/>
        </w:rPr>
      </w:pPr>
      <w:r>
        <w:rPr>
          <w:rFonts w:cs="Times New Roman"/>
          <w:snapToGrid w:val="0"/>
          <w:sz w:val="21"/>
          <w:szCs w:val="21"/>
        </w:rPr>
        <w:t>（1）列入《危险化学品目录（2015版）》；</w:t>
      </w:r>
    </w:p>
    <w:p>
      <w:pPr>
        <w:shd w:val="clear" w:color="auto" w:fill="FFFFFF"/>
        <w:overflowPunct w:val="0"/>
        <w:adjustRightInd w:val="0"/>
        <w:snapToGrid w:val="0"/>
        <w:spacing w:line="360" w:lineRule="auto"/>
        <w:ind w:firstLine="420" w:firstLineChars="200"/>
        <w:textAlignment w:val="baseline"/>
        <w:rPr>
          <w:rFonts w:cs="Times New Roman"/>
          <w:snapToGrid w:val="0"/>
          <w:sz w:val="21"/>
          <w:szCs w:val="21"/>
        </w:rPr>
      </w:pPr>
      <w:r>
        <w:rPr>
          <w:rFonts w:cs="Times New Roman"/>
          <w:snapToGrid w:val="0"/>
          <w:sz w:val="21"/>
          <w:szCs w:val="21"/>
        </w:rPr>
        <w:t>（2）未列入《危险化学品目录（2015版）》，但经鉴定分类符合《&lt;危险化学品目录（2015版）&gt;实施指南（试行）》（安监总厅管三〔2015〕80号）中危险化学品确定原则。</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w:t>
      </w:r>
      <w:r>
        <w:rPr>
          <w:rFonts w:cs="Times New Roman"/>
          <w:b/>
          <w:bCs/>
          <w:snapToGrid w:val="0"/>
          <w:kern w:val="0"/>
          <w:szCs w:val="28"/>
        </w:rPr>
        <w:t>危险化学品</w:t>
      </w:r>
      <w:r>
        <w:rPr>
          <w:rFonts w:hint="eastAsia" w:cs="Times New Roman"/>
          <w:b/>
          <w:bCs/>
          <w:snapToGrid w:val="0"/>
          <w:kern w:val="0"/>
          <w:szCs w:val="28"/>
        </w:rPr>
        <w:t>经营活动</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从事列入《危险化学品目录》的危险化学品的经营（包括仓储经营）活动，不包括民用爆炸物品、放射性物品、核能物质和城镇燃气的经营活动。</w:t>
      </w:r>
    </w:p>
    <w:p>
      <w:pPr>
        <w:overflowPunct w:val="0"/>
        <w:adjustRightInd w:val="0"/>
        <w:snapToGrid w:val="0"/>
        <w:spacing w:line="360" w:lineRule="auto"/>
        <w:ind w:firstLine="560" w:firstLineChars="200"/>
        <w:rPr>
          <w:rFonts w:cs="Times New Roman"/>
          <w:bCs/>
          <w:snapToGrid w:val="0"/>
          <w:kern w:val="0"/>
          <w:szCs w:val="28"/>
        </w:rPr>
      </w:pPr>
      <w:r>
        <w:rPr>
          <w:rFonts w:cs="Times New Roman"/>
          <w:bCs/>
          <w:snapToGrid w:val="0"/>
          <w:kern w:val="0"/>
          <w:szCs w:val="28"/>
        </w:rPr>
        <w:t>【</w:t>
      </w:r>
      <w:r>
        <w:rPr>
          <w:rFonts w:cs="Times New Roman"/>
          <w:b/>
          <w:snapToGrid w:val="0"/>
          <w:kern w:val="0"/>
          <w:szCs w:val="28"/>
        </w:rPr>
        <w:t>危险化学品重大危险源</w:t>
      </w:r>
      <w:r>
        <w:rPr>
          <w:rFonts w:cs="Times New Roman"/>
          <w:bCs/>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长期地或者临时地</w:t>
      </w:r>
      <w:r>
        <w:rPr>
          <w:rFonts w:cs="Times New Roman"/>
          <w:snapToGrid w:val="0"/>
          <w:kern w:val="0"/>
          <w:szCs w:val="28"/>
        </w:rPr>
        <w:t>生产、储存、使用</w:t>
      </w:r>
      <w:r>
        <w:rPr>
          <w:rFonts w:hint="eastAsia" w:cs="Times New Roman"/>
          <w:snapToGrid w:val="0"/>
          <w:kern w:val="0"/>
          <w:szCs w:val="28"/>
        </w:rPr>
        <w:t>或者搬运</w:t>
      </w:r>
      <w:r>
        <w:rPr>
          <w:rFonts w:cs="Times New Roman"/>
          <w:snapToGrid w:val="0"/>
          <w:kern w:val="0"/>
          <w:szCs w:val="28"/>
        </w:rPr>
        <w:t>危险化学品，且危险化学品的数量等于或</w:t>
      </w:r>
      <w:r>
        <w:rPr>
          <w:rFonts w:hint="eastAsia" w:cs="Times New Roman"/>
          <w:snapToGrid w:val="0"/>
          <w:kern w:val="0"/>
          <w:szCs w:val="28"/>
        </w:rPr>
        <w:t>者</w:t>
      </w:r>
      <w:r>
        <w:rPr>
          <w:rFonts w:cs="Times New Roman"/>
          <w:snapToGrid w:val="0"/>
          <w:kern w:val="0"/>
          <w:szCs w:val="28"/>
        </w:rPr>
        <w:t>超过临界量的单元</w:t>
      </w:r>
      <w:r>
        <w:rPr>
          <w:rFonts w:hint="eastAsia" w:cs="Times New Roman"/>
          <w:snapToGrid w:val="0"/>
          <w:kern w:val="0"/>
          <w:szCs w:val="28"/>
        </w:rPr>
        <w:t>（包括场所和设施）</w:t>
      </w:r>
      <w:r>
        <w:rPr>
          <w:rFonts w:cs="Times New Roman"/>
          <w:snapToGrid w:val="0"/>
          <w:kern w:val="0"/>
          <w:szCs w:val="28"/>
        </w:rPr>
        <w:t>。</w:t>
      </w:r>
    </w:p>
    <w:p>
      <w:pPr>
        <w:overflowPunct w:val="0"/>
        <w:adjustRightInd w:val="0"/>
        <w:snapToGrid w:val="0"/>
        <w:spacing w:line="360" w:lineRule="auto"/>
        <w:ind w:firstLine="560" w:firstLineChars="200"/>
        <w:rPr>
          <w:rFonts w:cs="Times New Roman"/>
          <w:bCs/>
          <w:snapToGrid w:val="0"/>
          <w:kern w:val="0"/>
          <w:szCs w:val="28"/>
        </w:rPr>
      </w:pPr>
      <w:r>
        <w:rPr>
          <w:rFonts w:cs="Times New Roman"/>
          <w:bCs/>
          <w:snapToGrid w:val="0"/>
          <w:kern w:val="0"/>
          <w:szCs w:val="28"/>
        </w:rPr>
        <w:t>【</w:t>
      </w:r>
      <w:r>
        <w:rPr>
          <w:rFonts w:cs="Times New Roman"/>
          <w:b/>
          <w:snapToGrid w:val="0"/>
          <w:kern w:val="0"/>
          <w:szCs w:val="28"/>
        </w:rPr>
        <w:t>防护目标</w:t>
      </w:r>
      <w:r>
        <w:rPr>
          <w:rFonts w:cs="Times New Roman"/>
          <w:bCs/>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受危险化学品生产装置和储存设施事故影响，场外可能发生人员伤亡、财产损失的设施或场所。</w:t>
      </w:r>
    </w:p>
    <w:p>
      <w:pPr>
        <w:overflowPunct w:val="0"/>
        <w:adjustRightInd w:val="0"/>
        <w:snapToGrid w:val="0"/>
        <w:spacing w:line="360" w:lineRule="auto"/>
        <w:ind w:firstLine="560" w:firstLineChars="200"/>
        <w:rPr>
          <w:rFonts w:cs="Times New Roman"/>
          <w:bCs/>
          <w:snapToGrid w:val="0"/>
          <w:kern w:val="0"/>
          <w:szCs w:val="28"/>
        </w:rPr>
      </w:pPr>
      <w:r>
        <w:rPr>
          <w:rFonts w:cs="Times New Roman"/>
          <w:bCs/>
          <w:snapToGrid w:val="0"/>
          <w:kern w:val="0"/>
          <w:szCs w:val="28"/>
        </w:rPr>
        <w:t>【</w:t>
      </w:r>
      <w:r>
        <w:rPr>
          <w:rFonts w:cs="Times New Roman"/>
          <w:b/>
          <w:snapToGrid w:val="0"/>
          <w:kern w:val="0"/>
          <w:szCs w:val="28"/>
        </w:rPr>
        <w:t>外部安全防护距离</w:t>
      </w:r>
      <w:r>
        <w:rPr>
          <w:rFonts w:cs="Times New Roman"/>
          <w:bCs/>
          <w:snapToGrid w:val="0"/>
          <w:kern w:val="0"/>
          <w:szCs w:val="28"/>
        </w:rPr>
        <w:t>】</w:t>
      </w:r>
    </w:p>
    <w:p>
      <w:pPr>
        <w:overflowPunct w:val="0"/>
        <w:adjustRightInd w:val="0"/>
        <w:snapToGrid w:val="0"/>
        <w:spacing w:line="360" w:lineRule="auto"/>
        <w:ind w:firstLine="560" w:firstLineChars="200"/>
        <w:rPr>
          <w:rFonts w:cs="Times New Roman"/>
          <w:bCs/>
          <w:snapToGrid w:val="0"/>
          <w:kern w:val="0"/>
          <w:szCs w:val="28"/>
        </w:rPr>
      </w:pPr>
      <w:r>
        <w:rPr>
          <w:rFonts w:cs="Times New Roman"/>
          <w:bCs/>
          <w:snapToGrid w:val="0"/>
          <w:kern w:val="0"/>
          <w:szCs w:val="28"/>
        </w:rPr>
        <w:t>为了预防和减缓危险化学品生产</w:t>
      </w:r>
      <w:r>
        <w:rPr>
          <w:rFonts w:hint="eastAsia" w:cs="Times New Roman"/>
          <w:bCs/>
          <w:snapToGrid w:val="0"/>
          <w:kern w:val="0"/>
          <w:szCs w:val="28"/>
        </w:rPr>
        <w:t>装置</w:t>
      </w:r>
      <w:r>
        <w:rPr>
          <w:rFonts w:cs="Times New Roman"/>
          <w:bCs/>
          <w:snapToGrid w:val="0"/>
          <w:kern w:val="0"/>
          <w:szCs w:val="28"/>
        </w:rPr>
        <w:t>和储存设施潜在事故（火灾、爆炸和中毒等）对厂外防护目标的影响，在装置和设施与防护目标之间设置的距离或风险控制线。</w:t>
      </w:r>
    </w:p>
    <w:p>
      <w:pPr>
        <w:jc w:val="center"/>
        <w:rPr>
          <w:rFonts w:ascii="宋体" w:hAnsi="宋体"/>
          <w:b/>
          <w:bCs/>
          <w:sz w:val="36"/>
          <w:szCs w:val="36"/>
        </w:rPr>
        <w:sectPr>
          <w:pgSz w:w="11906" w:h="16838"/>
          <w:pgMar w:top="1440" w:right="1800" w:bottom="1440" w:left="1800" w:header="851" w:footer="992" w:gutter="0"/>
          <w:pgNumType w:start="1"/>
          <w:cols w:space="425" w:num="1"/>
          <w:docGrid w:type="lines" w:linePitch="312" w:charSpace="0"/>
        </w:sectPr>
      </w:pPr>
    </w:p>
    <w:p>
      <w:pPr>
        <w:pStyle w:val="2"/>
        <w:spacing w:before="156" w:after="156"/>
        <w:jc w:val="center"/>
      </w:pPr>
      <w:bookmarkStart w:id="1" w:name="_Toc136353145"/>
      <w:r>
        <w:rPr>
          <w:rFonts w:hint="eastAsia"/>
        </w:rPr>
        <w:t>前 言</w:t>
      </w:r>
      <w:bookmarkEnd w:id="1"/>
    </w:p>
    <w:p>
      <w:pPr>
        <w:widowControl/>
        <w:overflowPunct w:val="0"/>
        <w:adjustRightInd w:val="0"/>
        <w:snapToGrid w:val="0"/>
        <w:spacing w:line="360" w:lineRule="auto"/>
        <w:ind w:firstLine="560" w:firstLineChars="200"/>
        <w:rPr>
          <w:rFonts w:cs="Times New Roman"/>
          <w:szCs w:val="28"/>
        </w:rPr>
      </w:pPr>
    </w:p>
    <w:p>
      <w:pPr>
        <w:widowControl/>
        <w:overflowPunct w:val="0"/>
        <w:adjustRightInd w:val="0"/>
        <w:snapToGrid w:val="0"/>
        <w:spacing w:line="360" w:lineRule="auto"/>
        <w:ind w:firstLine="560" w:firstLineChars="200"/>
        <w:rPr>
          <w:rFonts w:cs="Times New Roman"/>
          <w:szCs w:val="28"/>
        </w:rPr>
      </w:pPr>
      <w:r>
        <w:rPr>
          <w:rFonts w:hint="eastAsia" w:cs="Times New Roman"/>
          <w:szCs w:val="28"/>
        </w:rPr>
        <w:t>危险化学品广泛应用于生产生活各个环节，因其普遍易燃易爆、有毒有害，分布点多面广，一旦发生事故，不仅会对生产经营单位的员工造成伤害，还可能波及周边居民，危害城市公共安全</w:t>
      </w:r>
      <w:r>
        <w:rPr>
          <w:rFonts w:cs="Times New Roman"/>
          <w:szCs w:val="28"/>
        </w:rPr>
        <w:t>。开展危险化学品安全源头治理，加强规划布局和准入条件等源头管控，</w:t>
      </w:r>
      <w:r>
        <w:rPr>
          <w:rFonts w:hint="eastAsia" w:cs="Times New Roman"/>
          <w:szCs w:val="28"/>
        </w:rPr>
        <w:t>能有效防范化解危险化学品重大安全风险，切实保障人民群众生命财产安全和社会稳定</w:t>
      </w:r>
      <w:r>
        <w:rPr>
          <w:rFonts w:cs="Times New Roman"/>
          <w:szCs w:val="28"/>
        </w:rPr>
        <w:t>。</w:t>
      </w:r>
    </w:p>
    <w:p>
      <w:pPr>
        <w:widowControl/>
        <w:overflowPunct w:val="0"/>
        <w:adjustRightInd w:val="0"/>
        <w:snapToGrid w:val="0"/>
        <w:spacing w:line="360" w:lineRule="auto"/>
        <w:ind w:firstLine="560" w:firstLineChars="200"/>
        <w:rPr>
          <w:rFonts w:cs="Times New Roman"/>
          <w:szCs w:val="28"/>
        </w:rPr>
      </w:pPr>
      <w:r>
        <w:rPr>
          <w:rFonts w:hint="eastAsia" w:cs="Times New Roman"/>
          <w:szCs w:val="28"/>
        </w:rPr>
        <w:t>目前，奉化区只有3家危险化学品生产企业，企业规模都不大且风险水平低。作为以危险化学品使用为主的区域，奉化区的危险化学品安全问题多发生在本地流通和使用环节。危险化学品的流通和使用环节具有数量集中、位置移动、环境复杂多变、安全防范措施相对较弱，与居民生活的相关性更加密切、更加直接等特点，较生产性环节事故发生的频率更高，事故的危害更大。有针对性地</w:t>
      </w:r>
      <w:r>
        <w:rPr>
          <w:rFonts w:cs="Times New Roman"/>
          <w:szCs w:val="28"/>
        </w:rPr>
        <w:t>编制</w:t>
      </w:r>
      <w:r>
        <w:rPr>
          <w:rFonts w:hint="eastAsia" w:cs="Times New Roman"/>
          <w:szCs w:val="28"/>
        </w:rPr>
        <w:t>危险化学品经营</w:t>
      </w:r>
      <w:r>
        <w:rPr>
          <w:rFonts w:cs="Times New Roman"/>
          <w:szCs w:val="28"/>
        </w:rPr>
        <w:t>安全发展规划是源头管控措施的重要体现，可为</w:t>
      </w:r>
      <w:r>
        <w:rPr>
          <w:rFonts w:hint="eastAsia" w:cs="Times New Roman"/>
          <w:szCs w:val="28"/>
        </w:rPr>
        <w:t>奉化</w:t>
      </w:r>
      <w:r>
        <w:rPr>
          <w:rFonts w:cs="Times New Roman"/>
          <w:szCs w:val="28"/>
        </w:rPr>
        <w:t>危险化学品</w:t>
      </w:r>
      <w:r>
        <w:rPr>
          <w:rFonts w:hint="eastAsia" w:cs="Times New Roman"/>
          <w:szCs w:val="28"/>
        </w:rPr>
        <w:t>经营</w:t>
      </w:r>
      <w:r>
        <w:rPr>
          <w:rFonts w:cs="Times New Roman"/>
          <w:szCs w:val="28"/>
        </w:rPr>
        <w:t>项目总体布局及安全</w:t>
      </w:r>
      <w:r>
        <w:rPr>
          <w:rFonts w:hint="eastAsia" w:cs="Times New Roman"/>
          <w:szCs w:val="28"/>
        </w:rPr>
        <w:t>监管</w:t>
      </w:r>
      <w:r>
        <w:rPr>
          <w:rFonts w:cs="Times New Roman"/>
          <w:szCs w:val="28"/>
        </w:rPr>
        <w:t>提供法定依据。</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本规划的编制参照了</w:t>
      </w:r>
      <w:r>
        <w:rPr>
          <w:rFonts w:cs="Times New Roman"/>
          <w:snapToGrid w:val="0"/>
          <w:kern w:val="0"/>
          <w:szCs w:val="28"/>
        </w:rPr>
        <w:t>上级政府的相关决定和批文的精神</w:t>
      </w:r>
      <w:r>
        <w:rPr>
          <w:rFonts w:hint="eastAsia" w:cs="Times New Roman"/>
          <w:snapToGrid w:val="0"/>
          <w:kern w:val="0"/>
          <w:szCs w:val="28"/>
        </w:rPr>
        <w:t>，并</w:t>
      </w:r>
      <w:r>
        <w:rPr>
          <w:rFonts w:cs="Times New Roman"/>
          <w:snapToGrid w:val="0"/>
          <w:kern w:val="0"/>
          <w:szCs w:val="28"/>
        </w:rPr>
        <w:t>与</w:t>
      </w:r>
      <w:r>
        <w:rPr>
          <w:rFonts w:hint="eastAsia" w:cs="Times New Roman"/>
          <w:snapToGrid w:val="0"/>
          <w:kern w:val="0"/>
          <w:szCs w:val="28"/>
        </w:rPr>
        <w:t>奉化区国土空间总体规划和相关</w:t>
      </w:r>
      <w:r>
        <w:rPr>
          <w:rFonts w:cs="Times New Roman"/>
          <w:snapToGrid w:val="0"/>
          <w:kern w:val="0"/>
          <w:szCs w:val="28"/>
        </w:rPr>
        <w:t>行业发展规划相协调。在本规划范围内的</w:t>
      </w:r>
      <w:r>
        <w:rPr>
          <w:rFonts w:hint="eastAsia" w:cs="Times New Roman"/>
          <w:snapToGrid w:val="0"/>
          <w:kern w:val="0"/>
          <w:szCs w:val="28"/>
        </w:rPr>
        <w:t>危险化学品经营</w:t>
      </w:r>
      <w:r>
        <w:rPr>
          <w:rFonts w:cs="Times New Roman"/>
          <w:snapToGrid w:val="0"/>
          <w:kern w:val="0"/>
          <w:szCs w:val="28"/>
        </w:rPr>
        <w:t>均须遵照本规划实施</w:t>
      </w:r>
      <w:r>
        <w:rPr>
          <w:rFonts w:hint="eastAsia" w:cs="Times New Roman"/>
          <w:snapToGrid w:val="0"/>
          <w:kern w:val="0"/>
          <w:szCs w:val="28"/>
        </w:rPr>
        <w:t>。</w:t>
      </w:r>
    </w:p>
    <w:p>
      <w:pPr>
        <w:widowControl/>
        <w:overflowPunct w:val="0"/>
        <w:adjustRightInd w:val="0"/>
        <w:snapToGrid w:val="0"/>
        <w:spacing w:line="360" w:lineRule="auto"/>
        <w:ind w:firstLine="560" w:firstLineChars="200"/>
        <w:rPr>
          <w:rFonts w:cs="Times New Roman"/>
          <w:szCs w:val="28"/>
        </w:rPr>
      </w:pPr>
    </w:p>
    <w:p>
      <w:pPr>
        <w:rPr>
          <w:rFonts w:ascii="宋体" w:hAnsi="宋体"/>
          <w:b/>
          <w:bCs/>
          <w:szCs w:val="28"/>
        </w:rPr>
        <w:sectPr>
          <w:pgSz w:w="11906" w:h="16838"/>
          <w:pgMar w:top="1440" w:right="1800" w:bottom="1440" w:left="1800" w:header="851" w:footer="992" w:gutter="0"/>
          <w:cols w:space="425" w:num="1"/>
          <w:docGrid w:type="lines" w:linePitch="312" w:charSpace="0"/>
        </w:sectPr>
      </w:pPr>
    </w:p>
    <w:p>
      <w:pPr>
        <w:pStyle w:val="2"/>
        <w:spacing w:before="156" w:after="156"/>
      </w:pPr>
      <w:bookmarkStart w:id="2" w:name="_Toc136353146"/>
      <w:r>
        <w:rPr>
          <w:rFonts w:hint="eastAsia"/>
        </w:rPr>
        <w:t>1</w:t>
      </w:r>
      <w:r>
        <w:t xml:space="preserve"> 总论</w:t>
      </w:r>
      <w:bookmarkEnd w:id="2"/>
    </w:p>
    <w:p>
      <w:pPr>
        <w:pStyle w:val="3"/>
        <w:spacing w:after="156"/>
      </w:pPr>
      <w:bookmarkStart w:id="3" w:name="_Toc136353147"/>
      <w:r>
        <w:t xml:space="preserve">1.1 </w:t>
      </w:r>
      <w:r>
        <w:rPr>
          <w:rFonts w:hint="eastAsia"/>
        </w:rPr>
        <w:t>规划背景</w:t>
      </w:r>
      <w:bookmarkEnd w:id="3"/>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深入学习贯彻落实习近平总书记关于安全生产重要论述，牢固树立安全发展理念，强化</w:t>
      </w:r>
      <w:r>
        <w:rPr>
          <w:rFonts w:hint="eastAsia" w:cs="Times New Roman"/>
          <w:snapToGrid w:val="0"/>
          <w:kern w:val="0"/>
          <w:szCs w:val="28"/>
        </w:rPr>
        <w:t>系统观念</w:t>
      </w:r>
      <w:r>
        <w:rPr>
          <w:rFonts w:cs="Times New Roman"/>
          <w:snapToGrid w:val="0"/>
          <w:kern w:val="0"/>
          <w:szCs w:val="28"/>
        </w:rPr>
        <w:t>和</w:t>
      </w:r>
      <w:r>
        <w:rPr>
          <w:rFonts w:hint="eastAsia" w:cs="Times New Roman"/>
          <w:snapToGrid w:val="0"/>
          <w:kern w:val="0"/>
          <w:szCs w:val="28"/>
        </w:rPr>
        <w:t>风险</w:t>
      </w:r>
      <w:r>
        <w:rPr>
          <w:rFonts w:cs="Times New Roman"/>
          <w:snapToGrid w:val="0"/>
          <w:kern w:val="0"/>
          <w:szCs w:val="28"/>
        </w:rPr>
        <w:t>意识，坚守发展决不能以牺牲安全为代价这条不可逾越的红线，坚定问题导向、目标导向、结果导向，为</w:t>
      </w:r>
      <w:r>
        <w:rPr>
          <w:rFonts w:hint="eastAsia" w:cs="Times New Roman"/>
          <w:snapToGrid w:val="0"/>
          <w:kern w:val="0"/>
          <w:szCs w:val="28"/>
        </w:rPr>
        <w:t>维护</w:t>
      </w:r>
      <w:r>
        <w:rPr>
          <w:rFonts w:cs="Times New Roman"/>
          <w:snapToGrid w:val="0"/>
          <w:kern w:val="0"/>
          <w:szCs w:val="28"/>
        </w:rPr>
        <w:t>奉化经济社会的安全发展环境，</w:t>
      </w:r>
      <w:r>
        <w:rPr>
          <w:rFonts w:hint="eastAsia" w:cs="Times New Roman"/>
          <w:snapToGrid w:val="0"/>
          <w:kern w:val="0"/>
          <w:szCs w:val="28"/>
        </w:rPr>
        <w:t>特对</w:t>
      </w:r>
      <w:r>
        <w:rPr>
          <w:rFonts w:cs="Times New Roman"/>
          <w:snapToGrid w:val="0"/>
          <w:kern w:val="0"/>
          <w:szCs w:val="28"/>
        </w:rPr>
        <w:t>奉化区</w:t>
      </w:r>
      <w:r>
        <w:rPr>
          <w:rFonts w:hint="eastAsia" w:cs="Times New Roman"/>
          <w:snapToGrid w:val="0"/>
          <w:kern w:val="0"/>
          <w:szCs w:val="28"/>
        </w:rPr>
        <w:t>危险化学品经营</w:t>
      </w:r>
      <w:r>
        <w:rPr>
          <w:rFonts w:cs="Times New Roman"/>
          <w:snapToGrid w:val="0"/>
          <w:kern w:val="0"/>
          <w:szCs w:val="28"/>
        </w:rPr>
        <w:t>行业的发展需求</w:t>
      </w:r>
      <w:r>
        <w:rPr>
          <w:rFonts w:hint="eastAsia" w:cs="Times New Roman"/>
          <w:snapToGrid w:val="0"/>
          <w:kern w:val="0"/>
          <w:szCs w:val="28"/>
        </w:rPr>
        <w:t>进行</w:t>
      </w:r>
      <w:r>
        <w:rPr>
          <w:rFonts w:cs="Times New Roman"/>
          <w:snapToGrid w:val="0"/>
          <w:kern w:val="0"/>
          <w:szCs w:val="28"/>
        </w:rPr>
        <w:t>分析，理清危险化学品</w:t>
      </w:r>
      <w:r>
        <w:rPr>
          <w:rFonts w:hint="eastAsia" w:cs="Times New Roman"/>
          <w:snapToGrid w:val="0"/>
          <w:kern w:val="0"/>
          <w:szCs w:val="28"/>
        </w:rPr>
        <w:t>经营</w:t>
      </w:r>
      <w:r>
        <w:rPr>
          <w:rFonts w:cs="Times New Roman"/>
          <w:snapToGrid w:val="0"/>
          <w:kern w:val="0"/>
          <w:szCs w:val="28"/>
        </w:rPr>
        <w:t>布局的总体思路，明确危险化学品</w:t>
      </w:r>
      <w:r>
        <w:rPr>
          <w:rFonts w:hint="eastAsia" w:cs="Times New Roman"/>
          <w:snapToGrid w:val="0"/>
          <w:kern w:val="0"/>
          <w:szCs w:val="28"/>
        </w:rPr>
        <w:t>经营安全发展</w:t>
      </w:r>
      <w:r>
        <w:rPr>
          <w:rFonts w:cs="Times New Roman"/>
          <w:snapToGrid w:val="0"/>
          <w:kern w:val="0"/>
          <w:szCs w:val="28"/>
        </w:rPr>
        <w:t>方向和重点，促进</w:t>
      </w:r>
      <w:r>
        <w:rPr>
          <w:rFonts w:hint="eastAsia" w:cs="Times New Roman"/>
          <w:snapToGrid w:val="0"/>
          <w:kern w:val="0"/>
          <w:szCs w:val="28"/>
        </w:rPr>
        <w:t>危险化学品</w:t>
      </w:r>
      <w:r>
        <w:rPr>
          <w:rFonts w:cs="Times New Roman"/>
          <w:snapToGrid w:val="0"/>
          <w:kern w:val="0"/>
          <w:szCs w:val="28"/>
        </w:rPr>
        <w:t>行业及其相关配套项目安全、协调、高效发展。</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奉化区委、区政府历来高度重视</w:t>
      </w:r>
      <w:r>
        <w:rPr>
          <w:rFonts w:hint="eastAsia" w:cs="Times New Roman"/>
          <w:snapToGrid w:val="0"/>
          <w:kern w:val="0"/>
          <w:szCs w:val="28"/>
        </w:rPr>
        <w:t>危险化学品</w:t>
      </w:r>
      <w:r>
        <w:rPr>
          <w:rFonts w:cs="Times New Roman"/>
          <w:snapToGrid w:val="0"/>
          <w:kern w:val="0"/>
          <w:szCs w:val="28"/>
        </w:rPr>
        <w:t>安全生产工作，“十</w:t>
      </w:r>
      <w:r>
        <w:rPr>
          <w:rFonts w:hint="eastAsia" w:cs="Times New Roman"/>
          <w:snapToGrid w:val="0"/>
          <w:kern w:val="0"/>
          <w:szCs w:val="28"/>
        </w:rPr>
        <w:t>二</w:t>
      </w:r>
      <w:r>
        <w:rPr>
          <w:rFonts w:cs="Times New Roman"/>
          <w:snapToGrid w:val="0"/>
          <w:kern w:val="0"/>
          <w:szCs w:val="28"/>
        </w:rPr>
        <w:t>五”</w:t>
      </w:r>
      <w:r>
        <w:rPr>
          <w:rFonts w:hint="eastAsia" w:cs="Times New Roman"/>
          <w:snapToGrid w:val="0"/>
          <w:kern w:val="0"/>
          <w:szCs w:val="28"/>
        </w:rPr>
        <w:t>期间</w:t>
      </w:r>
      <w:r>
        <w:rPr>
          <w:rFonts w:cs="Times New Roman"/>
          <w:snapToGrid w:val="0"/>
          <w:kern w:val="0"/>
          <w:szCs w:val="28"/>
        </w:rPr>
        <w:t>印发了《</w:t>
      </w:r>
      <w:r>
        <w:rPr>
          <w:rFonts w:hint="eastAsia" w:cs="Times New Roman"/>
          <w:snapToGrid w:val="0"/>
          <w:kern w:val="0"/>
          <w:szCs w:val="28"/>
        </w:rPr>
        <w:t>奉化市化工行业安全发展规划</w:t>
      </w:r>
      <w:r>
        <w:rPr>
          <w:rFonts w:cs="Times New Roman"/>
          <w:snapToGrid w:val="0"/>
          <w:kern w:val="0"/>
          <w:szCs w:val="28"/>
        </w:rPr>
        <w:t>（2010-2015）》，对优化奉化区化工</w:t>
      </w:r>
      <w:r>
        <w:rPr>
          <w:rFonts w:hint="eastAsia" w:cs="Times New Roman"/>
          <w:snapToGrid w:val="0"/>
          <w:kern w:val="0"/>
          <w:szCs w:val="28"/>
        </w:rPr>
        <w:t>行业</w:t>
      </w:r>
      <w:r>
        <w:rPr>
          <w:rFonts w:cs="Times New Roman"/>
          <w:snapToGrid w:val="0"/>
          <w:kern w:val="0"/>
          <w:szCs w:val="28"/>
        </w:rPr>
        <w:t>空间布局和促进化工行业安全发展起到了很好的指导和推动作用。</w:t>
      </w:r>
      <w:r>
        <w:rPr>
          <w:rFonts w:hint="eastAsia" w:cs="Times New Roman"/>
          <w:snapToGrid w:val="0"/>
          <w:kern w:val="0"/>
          <w:szCs w:val="28"/>
        </w:rPr>
        <w:t>“十三五” 期间，宁波市统一编制了《宁波市化工行业安全发展规划（2016-2020年）》，涉及奉化区的内容延续了之前的奉化相关规划。“十四五”期间，宁波市针对化工园区统一编制《宁波市化工行业安全发展规划（2021-2025年）》，奉化区因作为限制发展区，没有针对性的内容，为具体指导奉化区危险化学品经营安全发展，</w:t>
      </w:r>
      <w:r>
        <w:rPr>
          <w:rFonts w:cs="Times New Roman"/>
          <w:snapToGrid w:val="0"/>
          <w:kern w:val="0"/>
          <w:szCs w:val="28"/>
        </w:rPr>
        <w:t>需编制《奉化区</w:t>
      </w:r>
      <w:r>
        <w:rPr>
          <w:rFonts w:hint="eastAsia" w:cs="Times New Roman"/>
          <w:snapToGrid w:val="0"/>
          <w:kern w:val="0"/>
          <w:szCs w:val="28"/>
        </w:rPr>
        <w:t>危险化学品经营</w:t>
      </w:r>
      <w:r>
        <w:rPr>
          <w:rFonts w:cs="Times New Roman"/>
          <w:snapToGrid w:val="0"/>
          <w:kern w:val="0"/>
          <w:szCs w:val="28"/>
        </w:rPr>
        <w:t>安全发展规划》（以下简称“本规划”）。</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本规划与</w:t>
      </w:r>
      <w:r>
        <w:rPr>
          <w:rFonts w:hint="eastAsia" w:cs="Times New Roman"/>
          <w:snapToGrid w:val="0"/>
          <w:kern w:val="0"/>
          <w:szCs w:val="28"/>
        </w:rPr>
        <w:t>《奉化区国土空间总体规划（2021</w:t>
      </w:r>
      <w:r>
        <w:rPr>
          <w:rFonts w:cs="Times New Roman"/>
          <w:snapToGrid w:val="0"/>
          <w:kern w:val="0"/>
          <w:szCs w:val="28"/>
        </w:rPr>
        <w:t>-</w:t>
      </w:r>
      <w:r>
        <w:rPr>
          <w:rFonts w:hint="eastAsia" w:cs="Times New Roman"/>
          <w:snapToGrid w:val="0"/>
          <w:kern w:val="0"/>
          <w:szCs w:val="28"/>
        </w:rPr>
        <w:t>2035年）》</w:t>
      </w:r>
      <w:r>
        <w:rPr>
          <w:rFonts w:cs="Times New Roman"/>
          <w:snapToGrid w:val="0"/>
          <w:kern w:val="0"/>
          <w:szCs w:val="28"/>
        </w:rPr>
        <w:t>相衔接</w:t>
      </w:r>
      <w:r>
        <w:rPr>
          <w:rFonts w:hint="eastAsia" w:cs="Times New Roman"/>
          <w:snapToGrid w:val="0"/>
          <w:kern w:val="0"/>
          <w:szCs w:val="28"/>
        </w:rPr>
        <w:t>，为国土空间规划预留危险化学品经营用地提供依据，指导近期重点项目建设和中远期储存设施布局，是</w:t>
      </w:r>
      <w:r>
        <w:rPr>
          <w:rFonts w:cs="Times New Roman"/>
          <w:snapToGrid w:val="0"/>
          <w:kern w:val="0"/>
          <w:szCs w:val="28"/>
        </w:rPr>
        <w:t>2023</w:t>
      </w:r>
      <w:r>
        <w:rPr>
          <w:rFonts w:hint="eastAsia" w:cs="Times New Roman"/>
          <w:snapToGrid w:val="0"/>
          <w:kern w:val="0"/>
          <w:szCs w:val="28"/>
        </w:rPr>
        <w:t>年至2</w:t>
      </w:r>
      <w:r>
        <w:rPr>
          <w:rFonts w:cs="Times New Roman"/>
          <w:snapToGrid w:val="0"/>
          <w:kern w:val="0"/>
          <w:szCs w:val="28"/>
        </w:rPr>
        <w:t>035</w:t>
      </w:r>
      <w:r>
        <w:rPr>
          <w:rFonts w:hint="eastAsia" w:cs="Times New Roman"/>
          <w:snapToGrid w:val="0"/>
          <w:kern w:val="0"/>
          <w:szCs w:val="28"/>
        </w:rPr>
        <w:t>年奉化区</w:t>
      </w:r>
      <w:r>
        <w:rPr>
          <w:rFonts w:cs="Times New Roman"/>
          <w:snapToGrid w:val="0"/>
          <w:kern w:val="0"/>
          <w:szCs w:val="28"/>
        </w:rPr>
        <w:t>危险化学品</w:t>
      </w:r>
      <w:r>
        <w:rPr>
          <w:rFonts w:hint="eastAsia" w:cs="Times New Roman"/>
          <w:snapToGrid w:val="0"/>
          <w:kern w:val="0"/>
          <w:szCs w:val="28"/>
        </w:rPr>
        <w:t>安全经营及</w:t>
      </w:r>
      <w:r>
        <w:rPr>
          <w:rFonts w:cs="Times New Roman"/>
          <w:snapToGrid w:val="0"/>
          <w:kern w:val="0"/>
          <w:szCs w:val="28"/>
        </w:rPr>
        <w:t>监管</w:t>
      </w:r>
      <w:r>
        <w:rPr>
          <w:rFonts w:hint="eastAsia" w:cs="Times New Roman"/>
          <w:snapToGrid w:val="0"/>
          <w:kern w:val="0"/>
          <w:szCs w:val="28"/>
        </w:rPr>
        <w:t>的纲领性文件</w:t>
      </w:r>
      <w:r>
        <w:rPr>
          <w:rFonts w:cs="Times New Roman"/>
          <w:snapToGrid w:val="0"/>
          <w:kern w:val="0"/>
          <w:szCs w:val="28"/>
        </w:rPr>
        <w:t>。本规划的制定实施，旨在进一步理清奉化区</w:t>
      </w:r>
      <w:r>
        <w:rPr>
          <w:rFonts w:hint="eastAsia" w:cs="Times New Roman"/>
          <w:snapToGrid w:val="0"/>
          <w:kern w:val="0"/>
          <w:szCs w:val="28"/>
        </w:rPr>
        <w:t>危险化学品经营</w:t>
      </w:r>
      <w:r>
        <w:rPr>
          <w:rFonts w:cs="Times New Roman"/>
          <w:snapToGrid w:val="0"/>
          <w:kern w:val="0"/>
          <w:szCs w:val="28"/>
        </w:rPr>
        <w:t>安全发展的总体思路，合理优化</w:t>
      </w:r>
      <w:r>
        <w:rPr>
          <w:rFonts w:hint="eastAsia" w:cs="Times New Roman"/>
          <w:snapToGrid w:val="0"/>
          <w:kern w:val="0"/>
          <w:szCs w:val="28"/>
        </w:rPr>
        <w:t>危险化学品仓储和经营</w:t>
      </w:r>
      <w:r>
        <w:rPr>
          <w:rFonts w:cs="Times New Roman"/>
          <w:snapToGrid w:val="0"/>
          <w:kern w:val="0"/>
          <w:szCs w:val="28"/>
        </w:rPr>
        <w:t>空间布局，促进</w:t>
      </w:r>
      <w:r>
        <w:rPr>
          <w:rFonts w:hint="eastAsia" w:cs="Times New Roman"/>
          <w:snapToGrid w:val="0"/>
          <w:kern w:val="0"/>
          <w:szCs w:val="28"/>
        </w:rPr>
        <w:t>危险化学品经营与其它行业</w:t>
      </w:r>
      <w:r>
        <w:rPr>
          <w:rFonts w:cs="Times New Roman"/>
          <w:snapToGrid w:val="0"/>
          <w:kern w:val="0"/>
          <w:szCs w:val="28"/>
        </w:rPr>
        <w:t>安全协调高质量发展，进一步提升奉化区</w:t>
      </w:r>
      <w:r>
        <w:rPr>
          <w:rFonts w:hint="eastAsia" w:cs="Times New Roman"/>
          <w:snapToGrid w:val="0"/>
          <w:kern w:val="0"/>
          <w:szCs w:val="28"/>
        </w:rPr>
        <w:t>危险化学品</w:t>
      </w:r>
      <w:r>
        <w:rPr>
          <w:rFonts w:cs="Times New Roman"/>
          <w:snapToGrid w:val="0"/>
          <w:kern w:val="0"/>
          <w:szCs w:val="28"/>
        </w:rPr>
        <w:t>行业整体安全水平，对奉化区危险化学品行业安全发展乃至全</w:t>
      </w:r>
      <w:r>
        <w:rPr>
          <w:rFonts w:hint="eastAsia" w:cs="Times New Roman"/>
          <w:snapToGrid w:val="0"/>
          <w:kern w:val="0"/>
          <w:szCs w:val="28"/>
        </w:rPr>
        <w:t>区</w:t>
      </w:r>
      <w:r>
        <w:rPr>
          <w:rFonts w:cs="Times New Roman"/>
          <w:snapToGrid w:val="0"/>
          <w:kern w:val="0"/>
          <w:szCs w:val="28"/>
        </w:rPr>
        <w:t>的经济社会安全发展具有重</w:t>
      </w:r>
      <w:r>
        <w:rPr>
          <w:rFonts w:hint="eastAsia" w:cs="Times New Roman"/>
          <w:snapToGrid w:val="0"/>
          <w:kern w:val="0"/>
          <w:szCs w:val="28"/>
        </w:rPr>
        <w:t>要</w:t>
      </w:r>
      <w:r>
        <w:rPr>
          <w:rFonts w:cs="Times New Roman"/>
          <w:snapToGrid w:val="0"/>
          <w:kern w:val="0"/>
          <w:szCs w:val="28"/>
        </w:rPr>
        <w:t>意义。</w:t>
      </w:r>
    </w:p>
    <w:p>
      <w:pPr>
        <w:pStyle w:val="3"/>
        <w:spacing w:after="156"/>
      </w:pPr>
      <w:bookmarkStart w:id="4" w:name="_Toc136353148"/>
      <w:r>
        <w:t xml:space="preserve">1.2 </w:t>
      </w:r>
      <w:r>
        <w:rPr>
          <w:rFonts w:hint="eastAsia"/>
        </w:rPr>
        <w:t>规划范围</w:t>
      </w:r>
      <w:bookmarkEnd w:id="4"/>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本规划范围为奉化区</w:t>
      </w:r>
      <w:r>
        <w:rPr>
          <w:rFonts w:cs="Times New Roman"/>
          <w:szCs w:val="28"/>
        </w:rPr>
        <w:t>行政</w:t>
      </w:r>
      <w:r>
        <w:rPr>
          <w:rFonts w:hint="eastAsia" w:cs="Times New Roman"/>
          <w:szCs w:val="28"/>
        </w:rPr>
        <w:t>辖区</w:t>
      </w:r>
      <w:r>
        <w:rPr>
          <w:rFonts w:cs="Times New Roman"/>
          <w:szCs w:val="28"/>
        </w:rPr>
        <w:t>内的</w:t>
      </w:r>
      <w:r>
        <w:rPr>
          <w:rFonts w:hint="eastAsia" w:cs="Times New Roman"/>
          <w:szCs w:val="28"/>
        </w:rPr>
        <w:t>危险化学品经营，不包括成品油零售经营（即加油站），成品油零售经营发展遵照《奉化区成品油零售经营“十四五”发展规划（2</w:t>
      </w:r>
      <w:r>
        <w:rPr>
          <w:rFonts w:cs="Times New Roman"/>
          <w:szCs w:val="28"/>
        </w:rPr>
        <w:t>021-2025</w:t>
      </w:r>
      <w:r>
        <w:rPr>
          <w:rFonts w:hint="eastAsia" w:cs="Times New Roman"/>
          <w:szCs w:val="28"/>
        </w:rPr>
        <w:t>）》实施</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从空间范围，本规划包括了奉化区所辖</w:t>
      </w:r>
      <w:r>
        <w:rPr>
          <w:rFonts w:cs="Times New Roman"/>
          <w:bCs/>
          <w:snapToGrid w:val="0"/>
          <w:kern w:val="0"/>
          <w:szCs w:val="28"/>
        </w:rPr>
        <w:t>各镇（街道</w:t>
      </w:r>
      <w:r>
        <w:rPr>
          <w:rFonts w:hint="eastAsia" w:cs="Times New Roman"/>
          <w:bCs/>
          <w:snapToGrid w:val="0"/>
          <w:kern w:val="0"/>
          <w:szCs w:val="28"/>
        </w:rPr>
        <w:t>）和</w:t>
      </w:r>
      <w:r>
        <w:rPr>
          <w:rFonts w:cs="Times New Roman"/>
          <w:bCs/>
          <w:snapToGrid w:val="0"/>
          <w:kern w:val="0"/>
          <w:szCs w:val="28"/>
        </w:rPr>
        <w:t>奉化经济开发区</w:t>
      </w:r>
      <w:r>
        <w:rPr>
          <w:rFonts w:cs="Times New Roman"/>
          <w:snapToGrid w:val="0"/>
          <w:kern w:val="0"/>
          <w:szCs w:val="28"/>
        </w:rPr>
        <w:t>。</w:t>
      </w:r>
    </w:p>
    <w:p>
      <w:pPr>
        <w:overflowPunct w:val="0"/>
        <w:adjustRightInd w:val="0"/>
        <w:snapToGrid w:val="0"/>
        <w:spacing w:line="360" w:lineRule="auto"/>
        <w:ind w:firstLine="560" w:firstLineChars="200"/>
        <w:rPr>
          <w:rFonts w:cs="Times New Roman"/>
          <w:szCs w:val="28"/>
        </w:rPr>
      </w:pPr>
      <w:r>
        <w:rPr>
          <w:rFonts w:cs="Times New Roman"/>
          <w:snapToGrid w:val="0"/>
          <w:kern w:val="0"/>
          <w:szCs w:val="28"/>
        </w:rPr>
        <w:t>从政府的管理职能范畴，</w:t>
      </w:r>
      <w:r>
        <w:rPr>
          <w:rFonts w:cs="Times New Roman"/>
          <w:szCs w:val="28"/>
        </w:rPr>
        <w:t>本规划涉及奉化区发改</w:t>
      </w:r>
      <w:r>
        <w:rPr>
          <w:rFonts w:hint="eastAsia" w:cs="Times New Roman"/>
          <w:szCs w:val="28"/>
        </w:rPr>
        <w:t>、</w:t>
      </w:r>
      <w:r>
        <w:rPr>
          <w:rFonts w:cs="Times New Roman"/>
          <w:szCs w:val="28"/>
        </w:rPr>
        <w:t>经信、公安、自然资源规划、生态环境、交通、应急管理、</w:t>
      </w:r>
      <w:r>
        <w:rPr>
          <w:rFonts w:hint="eastAsia" w:cs="Times New Roman"/>
          <w:szCs w:val="28"/>
        </w:rPr>
        <w:t>商务</w:t>
      </w:r>
      <w:r>
        <w:rPr>
          <w:rFonts w:cs="Times New Roman"/>
          <w:szCs w:val="28"/>
        </w:rPr>
        <w:t>等政府部门的工作职责。</w:t>
      </w:r>
    </w:p>
    <w:p/>
    <w:p>
      <w:pPr>
        <w:pStyle w:val="3"/>
        <w:spacing w:after="156"/>
      </w:pPr>
      <w:bookmarkStart w:id="5" w:name="_Toc136353149"/>
      <w:r>
        <w:rPr>
          <w:rFonts w:hint="eastAsia"/>
        </w:rPr>
        <w:t>1</w:t>
      </w:r>
      <w:r>
        <w:t>.</w:t>
      </w:r>
      <w:r>
        <w:rPr>
          <w:rFonts w:hint="eastAsia"/>
        </w:rPr>
        <w:t>3 规划期限</w:t>
      </w:r>
      <w:bookmarkEnd w:id="5"/>
    </w:p>
    <w:p>
      <w:pPr>
        <w:pStyle w:val="19"/>
        <w:ind w:firstLine="560"/>
      </w:pPr>
      <w:r>
        <w:rPr>
          <w:rFonts w:hint="eastAsia"/>
        </w:rPr>
        <w:t>本规划的规划期限为202</w:t>
      </w:r>
      <w:r>
        <w:t>3</w:t>
      </w:r>
      <w:r>
        <w:rPr>
          <w:rFonts w:hint="eastAsia"/>
        </w:rPr>
        <w:t>—20</w:t>
      </w:r>
      <w:r>
        <w:t>35</w:t>
      </w:r>
      <w:r>
        <w:rPr>
          <w:rFonts w:hint="eastAsia"/>
        </w:rPr>
        <w:t>年，其中，近期为2</w:t>
      </w:r>
      <w:r>
        <w:t>023</w:t>
      </w:r>
      <w:r>
        <w:rPr>
          <w:rFonts w:hint="eastAsia"/>
        </w:rPr>
        <w:t>—2</w:t>
      </w:r>
      <w:r>
        <w:t>025</w:t>
      </w:r>
      <w:r>
        <w:rPr>
          <w:rFonts w:hint="eastAsia"/>
        </w:rPr>
        <w:t>年，中期为2</w:t>
      </w:r>
      <w:r>
        <w:t>026</w:t>
      </w:r>
      <w:r>
        <w:rPr>
          <w:rFonts w:hint="eastAsia"/>
        </w:rPr>
        <w:t>—2</w:t>
      </w:r>
      <w:r>
        <w:t>030</w:t>
      </w:r>
      <w:r>
        <w:rPr>
          <w:rFonts w:hint="eastAsia"/>
        </w:rPr>
        <w:t>年，远期为2</w:t>
      </w:r>
      <w:r>
        <w:t>031</w:t>
      </w:r>
      <w:r>
        <w:rPr>
          <w:rFonts w:hint="eastAsia"/>
        </w:rPr>
        <w:t>—2</w:t>
      </w:r>
      <w:r>
        <w:t>035</w:t>
      </w:r>
      <w:r>
        <w:rPr>
          <w:rFonts w:hint="eastAsia"/>
        </w:rPr>
        <w:t>年。</w:t>
      </w:r>
    </w:p>
    <w:p>
      <w:pPr>
        <w:pStyle w:val="19"/>
        <w:ind w:firstLine="560"/>
      </w:pPr>
      <w:r>
        <w:rPr>
          <w:rFonts w:hint="eastAsia"/>
        </w:rPr>
        <w:t>本规划的基准年为202</w:t>
      </w:r>
      <w:r>
        <w:t>2</w:t>
      </w:r>
      <w:r>
        <w:rPr>
          <w:rFonts w:hint="eastAsia"/>
        </w:rPr>
        <w:t>年。</w:t>
      </w:r>
    </w:p>
    <w:p>
      <w:pPr>
        <w:pStyle w:val="19"/>
        <w:ind w:firstLine="562"/>
        <w:rPr>
          <w:b/>
          <w:bCs/>
        </w:rPr>
      </w:pPr>
    </w:p>
    <w:p>
      <w:pPr>
        <w:pStyle w:val="3"/>
        <w:spacing w:after="156"/>
      </w:pPr>
      <w:bookmarkStart w:id="6" w:name="_Toc136353150"/>
      <w:r>
        <w:t xml:space="preserve">1.4 </w:t>
      </w:r>
      <w:r>
        <w:rPr>
          <w:rFonts w:hint="eastAsia"/>
        </w:rPr>
        <w:t>规划原则</w:t>
      </w:r>
      <w:bookmarkEnd w:id="6"/>
      <w:r>
        <w:rPr>
          <w:rFonts w:hint="eastAsia"/>
        </w:rPr>
        <w:t xml:space="preserve"> </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（1）</w:t>
      </w:r>
      <w:r>
        <w:rPr>
          <w:rFonts w:cs="Times New Roman"/>
          <w:snapToGrid w:val="0"/>
          <w:kern w:val="0"/>
          <w:szCs w:val="28"/>
        </w:rPr>
        <w:t>科学规划</w:t>
      </w:r>
      <w:r>
        <w:rPr>
          <w:rFonts w:hint="eastAsia" w:cs="Times New Roman"/>
          <w:snapToGrid w:val="0"/>
          <w:kern w:val="0"/>
          <w:szCs w:val="28"/>
        </w:rPr>
        <w:t>、</w:t>
      </w:r>
      <w:r>
        <w:rPr>
          <w:rFonts w:cs="Times New Roman"/>
          <w:snapToGrid w:val="0"/>
          <w:kern w:val="0"/>
          <w:szCs w:val="28"/>
        </w:rPr>
        <w:t>合理布局。全面衔接</w:t>
      </w:r>
      <w:r>
        <w:rPr>
          <w:rFonts w:hint="eastAsia" w:cs="Times New Roman"/>
          <w:snapToGrid w:val="0"/>
          <w:kern w:val="0"/>
          <w:szCs w:val="28"/>
        </w:rPr>
        <w:t>国土空间</w:t>
      </w:r>
      <w:r>
        <w:rPr>
          <w:rFonts w:cs="Times New Roman"/>
          <w:snapToGrid w:val="0"/>
          <w:kern w:val="0"/>
          <w:szCs w:val="28"/>
        </w:rPr>
        <w:t>规划，合理布局危险化学品经营、储存场所及其</w:t>
      </w:r>
      <w:r>
        <w:rPr>
          <w:rFonts w:hint="eastAsia" w:cs="Times New Roman"/>
          <w:snapToGrid w:val="0"/>
          <w:kern w:val="0"/>
          <w:szCs w:val="28"/>
        </w:rPr>
        <w:t>配套工程</w:t>
      </w:r>
      <w:r>
        <w:rPr>
          <w:rFonts w:cs="Times New Roman"/>
          <w:snapToGrid w:val="0"/>
          <w:kern w:val="0"/>
          <w:szCs w:val="28"/>
        </w:rPr>
        <w:t>，健全危险化学品事故应急救援</w:t>
      </w:r>
      <w:r>
        <w:rPr>
          <w:rFonts w:hint="eastAsia" w:cs="Times New Roman"/>
          <w:snapToGrid w:val="0"/>
          <w:kern w:val="0"/>
          <w:szCs w:val="28"/>
        </w:rPr>
        <w:t>体系</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（2）</w:t>
      </w:r>
      <w:r>
        <w:rPr>
          <w:rFonts w:cs="Times New Roman"/>
          <w:snapToGrid w:val="0"/>
          <w:kern w:val="0"/>
          <w:szCs w:val="28"/>
        </w:rPr>
        <w:t>严格准入、源头管控。建立区域内</w:t>
      </w:r>
      <w:r>
        <w:rPr>
          <w:rFonts w:hint="eastAsia" w:cs="Times New Roman"/>
          <w:snapToGrid w:val="0"/>
          <w:kern w:val="0"/>
          <w:szCs w:val="28"/>
        </w:rPr>
        <w:t>危险化学品经营</w:t>
      </w:r>
      <w:r>
        <w:rPr>
          <w:rFonts w:cs="Times New Roman"/>
          <w:snapToGrid w:val="0"/>
          <w:kern w:val="0"/>
          <w:szCs w:val="28"/>
        </w:rPr>
        <w:t>企业准入和退出机制，把控源头，优化</w:t>
      </w:r>
      <w:r>
        <w:rPr>
          <w:rFonts w:hint="eastAsia" w:cs="Times New Roman"/>
          <w:snapToGrid w:val="0"/>
          <w:kern w:val="0"/>
          <w:szCs w:val="28"/>
        </w:rPr>
        <w:t>经营</w:t>
      </w:r>
      <w:r>
        <w:rPr>
          <w:rFonts w:cs="Times New Roman"/>
          <w:snapToGrid w:val="0"/>
          <w:kern w:val="0"/>
          <w:szCs w:val="28"/>
        </w:rPr>
        <w:t>结构，提高行业本质安全水平。</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（3）</w:t>
      </w:r>
      <w:r>
        <w:rPr>
          <w:rFonts w:cs="Times New Roman"/>
          <w:snapToGrid w:val="0"/>
          <w:kern w:val="0"/>
          <w:szCs w:val="28"/>
        </w:rPr>
        <w:t>预防为主</w:t>
      </w:r>
      <w:r>
        <w:rPr>
          <w:rFonts w:hint="eastAsia" w:cs="Times New Roman"/>
          <w:snapToGrid w:val="0"/>
          <w:kern w:val="0"/>
          <w:szCs w:val="28"/>
        </w:rPr>
        <w:t>、</w:t>
      </w:r>
      <w:r>
        <w:rPr>
          <w:rFonts w:cs="Times New Roman"/>
          <w:snapToGrid w:val="0"/>
          <w:kern w:val="0"/>
          <w:szCs w:val="28"/>
        </w:rPr>
        <w:t>综合治理。通过对</w:t>
      </w:r>
      <w:r>
        <w:rPr>
          <w:rFonts w:hint="eastAsia" w:cs="Times New Roman"/>
          <w:snapToGrid w:val="0"/>
          <w:kern w:val="0"/>
          <w:szCs w:val="28"/>
        </w:rPr>
        <w:t>危险化学品</w:t>
      </w:r>
      <w:r>
        <w:rPr>
          <w:rFonts w:cs="Times New Roman"/>
          <w:snapToGrid w:val="0"/>
          <w:kern w:val="0"/>
          <w:szCs w:val="28"/>
        </w:rPr>
        <w:t>企业的布局规划，从</w:t>
      </w:r>
      <w:r>
        <w:rPr>
          <w:rFonts w:hint="eastAsia" w:cs="Times New Roman"/>
          <w:snapToGrid w:val="0"/>
          <w:kern w:val="0"/>
          <w:szCs w:val="28"/>
        </w:rPr>
        <w:t>根本</w:t>
      </w:r>
      <w:r>
        <w:rPr>
          <w:rFonts w:cs="Times New Roman"/>
          <w:snapToGrid w:val="0"/>
          <w:kern w:val="0"/>
          <w:szCs w:val="28"/>
        </w:rPr>
        <w:t>上减少事故发生和降低事故危害的影响。通过各部门、各行业综合治理，提高危险化学品安全管理水平。</w:t>
      </w:r>
    </w:p>
    <w:p>
      <w:pPr>
        <w:ind w:firstLine="560" w:firstLineChars="200"/>
        <w:rPr>
          <w:rFonts w:cs="Times New Roman"/>
          <w:snapToGrid w:val="0"/>
          <w:kern w:val="0"/>
          <w:szCs w:val="28"/>
        </w:rPr>
      </w:pPr>
      <w:r>
        <w:rPr>
          <w:rFonts w:hint="eastAsia" w:cs="Times New Roman"/>
          <w:snapToGrid w:val="0"/>
          <w:kern w:val="0"/>
          <w:szCs w:val="28"/>
        </w:rPr>
        <w:t>（4）</w:t>
      </w:r>
      <w:r>
        <w:rPr>
          <w:rFonts w:cs="Times New Roman"/>
          <w:snapToGrid w:val="0"/>
          <w:kern w:val="0"/>
          <w:szCs w:val="28"/>
        </w:rPr>
        <w:t>创新监管、促进规范。进一步创新监管理念和方式，为</w:t>
      </w:r>
      <w:r>
        <w:rPr>
          <w:rFonts w:hint="eastAsia" w:cs="Times New Roman"/>
          <w:snapToGrid w:val="0"/>
          <w:kern w:val="0"/>
          <w:szCs w:val="28"/>
        </w:rPr>
        <w:t>危险化学品</w:t>
      </w:r>
      <w:r>
        <w:rPr>
          <w:rFonts w:cs="Times New Roman"/>
          <w:snapToGrid w:val="0"/>
          <w:kern w:val="0"/>
          <w:szCs w:val="28"/>
        </w:rPr>
        <w:t>行业发展提供高效的</w:t>
      </w:r>
      <w:r>
        <w:rPr>
          <w:rFonts w:hint="eastAsia" w:cs="Times New Roman"/>
          <w:snapToGrid w:val="0"/>
          <w:kern w:val="0"/>
          <w:szCs w:val="28"/>
        </w:rPr>
        <w:t>政务</w:t>
      </w:r>
      <w:r>
        <w:rPr>
          <w:rFonts w:cs="Times New Roman"/>
          <w:snapToGrid w:val="0"/>
          <w:kern w:val="0"/>
          <w:szCs w:val="28"/>
        </w:rPr>
        <w:t>服务和良好的竞争环境，努力维护公平公正的经济秩序</w:t>
      </w:r>
      <w:r>
        <w:rPr>
          <w:rFonts w:hint="eastAsia" w:cs="Times New Roman"/>
          <w:snapToGrid w:val="0"/>
          <w:kern w:val="0"/>
          <w:szCs w:val="28"/>
        </w:rPr>
        <w:t>，</w:t>
      </w:r>
      <w:r>
        <w:rPr>
          <w:rFonts w:cs="Times New Roman"/>
          <w:snapToGrid w:val="0"/>
          <w:kern w:val="0"/>
          <w:szCs w:val="28"/>
        </w:rPr>
        <w:t>实现奉化区</w:t>
      </w:r>
      <w:r>
        <w:rPr>
          <w:rFonts w:hint="eastAsia" w:cs="Times New Roman"/>
          <w:snapToGrid w:val="0"/>
          <w:kern w:val="0"/>
          <w:szCs w:val="28"/>
        </w:rPr>
        <w:t>危险化学品经营</w:t>
      </w:r>
      <w:r>
        <w:rPr>
          <w:rFonts w:cs="Times New Roman"/>
          <w:snapToGrid w:val="0"/>
          <w:kern w:val="0"/>
          <w:szCs w:val="28"/>
        </w:rPr>
        <w:t>行业科学、合法和规范发展。 </w:t>
      </w:r>
    </w:p>
    <w:p>
      <w:pPr>
        <w:pStyle w:val="3"/>
        <w:spacing w:after="156"/>
      </w:pPr>
      <w:bookmarkStart w:id="7" w:name="_Toc136353151"/>
      <w:r>
        <w:rPr>
          <w:rFonts w:hint="eastAsia"/>
        </w:rPr>
        <w:t>1.</w:t>
      </w:r>
      <w:r>
        <w:t xml:space="preserve">5 </w:t>
      </w:r>
      <w:r>
        <w:rPr>
          <w:rFonts w:hint="eastAsia"/>
        </w:rPr>
        <w:t>规划依据</w:t>
      </w:r>
      <w:bookmarkEnd w:id="7"/>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本规划编制的主要依据如下：</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《中华人民共和国安全生产法》（主席令88号）</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《危险化学品安全管理条例》（</w:t>
      </w:r>
      <w:r>
        <w:rPr>
          <w:rFonts w:hint="eastAsia" w:cs="Times New Roman"/>
          <w:snapToGrid w:val="0"/>
          <w:kern w:val="0"/>
          <w:szCs w:val="28"/>
        </w:rPr>
        <w:t>国务院令第5</w:t>
      </w:r>
      <w:r>
        <w:rPr>
          <w:rFonts w:cs="Times New Roman"/>
          <w:snapToGrid w:val="0"/>
          <w:kern w:val="0"/>
          <w:szCs w:val="28"/>
        </w:rPr>
        <w:t>91</w:t>
      </w:r>
      <w:r>
        <w:rPr>
          <w:rFonts w:hint="eastAsia" w:cs="Times New Roman"/>
          <w:snapToGrid w:val="0"/>
          <w:kern w:val="0"/>
          <w:szCs w:val="28"/>
        </w:rPr>
        <w:t>号，</w:t>
      </w:r>
      <w:r>
        <w:rPr>
          <w:rFonts w:cs="Times New Roman"/>
          <w:snapToGrid w:val="0"/>
          <w:kern w:val="0"/>
          <w:szCs w:val="28"/>
        </w:rPr>
        <w:t>国务院645号令</w:t>
      </w:r>
      <w:r>
        <w:rPr>
          <w:rFonts w:hint="eastAsia" w:cs="Times New Roman"/>
          <w:snapToGrid w:val="0"/>
          <w:kern w:val="0"/>
          <w:szCs w:val="28"/>
        </w:rPr>
        <w:t>修改</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《中共中央办公厅、国务院办公厅印发&lt;关于全面加强危险化学品安全生产工作的意见&gt;的通知》（厅字</w:t>
      </w:r>
      <w:r>
        <w:rPr>
          <w:rFonts w:cs="Times New Roman"/>
          <w:snapToGrid w:val="0"/>
          <w:kern w:val="0"/>
          <w:szCs w:val="28"/>
        </w:rPr>
        <w:t>〔2020〕3号</w:t>
      </w:r>
      <w:r>
        <w:rPr>
          <w:rFonts w:hint="eastAsia"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《应急管理部关于印发&lt;“十四五”危险化学品安全生产规划方案&gt;的通知》（应急〔2022〕22号）</w:t>
      </w:r>
    </w:p>
    <w:p>
      <w:pPr>
        <w:overflowPunct w:val="0"/>
        <w:adjustRightInd w:val="0"/>
        <w:snapToGrid w:val="0"/>
        <w:spacing w:line="360" w:lineRule="auto"/>
        <w:ind w:firstLine="560" w:firstLineChars="200"/>
        <w:rPr>
          <w:color w:val="000000"/>
          <w:szCs w:val="28"/>
        </w:rPr>
      </w:pPr>
      <w:r>
        <w:rPr>
          <w:color w:val="000000"/>
          <w:szCs w:val="28"/>
        </w:rPr>
        <w:t>《国务院安全生产委员会</w:t>
      </w:r>
      <w:r>
        <w:rPr>
          <w:rFonts w:hint="eastAsia"/>
          <w:color w:val="000000"/>
          <w:szCs w:val="28"/>
        </w:rPr>
        <w:t>关于印发</w:t>
      </w:r>
      <w:r>
        <w:rPr>
          <w:color w:val="000000"/>
          <w:szCs w:val="28"/>
        </w:rPr>
        <w:t>&lt;</w:t>
      </w:r>
      <w:r>
        <w:rPr>
          <w:rFonts w:hint="eastAsia"/>
          <w:color w:val="000000"/>
          <w:szCs w:val="28"/>
        </w:rPr>
        <w:t>全国危险化学品安全风险集中治理方案</w:t>
      </w:r>
      <w:r>
        <w:rPr>
          <w:color w:val="000000"/>
          <w:szCs w:val="28"/>
        </w:rPr>
        <w:t>&gt;</w:t>
      </w:r>
      <w:r>
        <w:rPr>
          <w:rFonts w:hint="eastAsia"/>
          <w:color w:val="000000"/>
          <w:szCs w:val="28"/>
        </w:rPr>
        <w:t>的通知》（安委〔2021〕12号）</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《国家安全监管总局办公厅关于印发化工行业安全发展规划编制导则的通知》（安监总厅管三〔2013〕96号）</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w:t>
      </w:r>
      <w:r>
        <w:rPr>
          <w:rFonts w:hint="eastAsia" w:cs="Times New Roman"/>
          <w:snapToGrid w:val="0"/>
          <w:kern w:val="0"/>
          <w:szCs w:val="28"/>
        </w:rPr>
        <w:t>应急管理部关于印发&lt;</w:t>
      </w:r>
      <w:r>
        <w:rPr>
          <w:rFonts w:cs="Times New Roman"/>
          <w:snapToGrid w:val="0"/>
          <w:kern w:val="0"/>
          <w:szCs w:val="28"/>
        </w:rPr>
        <w:t>化工园区安全风险排查治理导则（试行）</w:t>
      </w:r>
      <w:r>
        <w:rPr>
          <w:rFonts w:hint="eastAsia" w:cs="Times New Roman"/>
          <w:snapToGrid w:val="0"/>
          <w:kern w:val="0"/>
          <w:szCs w:val="28"/>
        </w:rPr>
        <w:t>&gt;</w:t>
      </w:r>
      <w:r>
        <w:rPr>
          <w:rFonts w:cs="Times New Roman"/>
          <w:snapToGrid w:val="0"/>
          <w:kern w:val="0"/>
          <w:szCs w:val="28"/>
        </w:rPr>
        <w:t>和</w:t>
      </w:r>
      <w:r>
        <w:rPr>
          <w:rFonts w:hint="eastAsia" w:cs="Times New Roman"/>
          <w:snapToGrid w:val="0"/>
          <w:kern w:val="0"/>
          <w:szCs w:val="28"/>
        </w:rPr>
        <w:t>&lt;</w:t>
      </w:r>
      <w:r>
        <w:rPr>
          <w:rFonts w:cs="Times New Roman"/>
          <w:snapToGrid w:val="0"/>
          <w:kern w:val="0"/>
          <w:szCs w:val="28"/>
        </w:rPr>
        <w:t>危险化学品企业安全风险隐患排查治理导则</w:t>
      </w:r>
      <w:r>
        <w:rPr>
          <w:rFonts w:hint="eastAsia" w:cs="Times New Roman"/>
          <w:snapToGrid w:val="0"/>
          <w:kern w:val="0"/>
          <w:szCs w:val="28"/>
        </w:rPr>
        <w:t>&gt;的通知》</w:t>
      </w:r>
      <w:r>
        <w:rPr>
          <w:rFonts w:cs="Times New Roman"/>
          <w:snapToGrid w:val="0"/>
          <w:kern w:val="0"/>
          <w:szCs w:val="28"/>
        </w:rPr>
        <w:t>（应急〔2019〕78号）</w:t>
      </w:r>
    </w:p>
    <w:p>
      <w:pPr>
        <w:overflowPunct w:val="0"/>
        <w:adjustRightInd w:val="0"/>
        <w:snapToGrid w:val="0"/>
        <w:spacing w:line="360" w:lineRule="auto"/>
        <w:ind w:firstLine="560" w:firstLineChars="200"/>
        <w:rPr>
          <w:rFonts w:cs="Times New Roman"/>
          <w:snapToGrid w:val="0"/>
          <w:szCs w:val="28"/>
        </w:rPr>
      </w:pPr>
      <w:r>
        <w:rPr>
          <w:rFonts w:cs="Times New Roman"/>
          <w:snapToGrid w:val="0"/>
          <w:kern w:val="0"/>
          <w:szCs w:val="28"/>
        </w:rPr>
        <w:t>《浙江省安全生产条例》（</w:t>
      </w:r>
      <w:r>
        <w:rPr>
          <w:rFonts w:cs="Times New Roman"/>
          <w:snapToGrid w:val="0"/>
          <w:szCs w:val="28"/>
        </w:rPr>
        <w:t>浙江省人民代表大会常务委员会公告</w:t>
      </w:r>
      <w:r>
        <w:rPr>
          <w:rFonts w:cs="Times New Roman"/>
          <w:snapToGrid w:val="0"/>
          <w:kern w:val="0"/>
          <w:szCs w:val="28"/>
        </w:rPr>
        <w:t>第86号）</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《浙江省安全生产委员会关于印发&lt;浙江省危险化学品安全风险集中治理实施方案&gt;的通知》（浙安委〔2022〕6号）</w:t>
      </w:r>
    </w:p>
    <w:p>
      <w:pPr>
        <w:overflowPunct w:val="0"/>
        <w:adjustRightInd w:val="0"/>
        <w:snapToGrid w:val="0"/>
        <w:spacing w:line="360" w:lineRule="auto"/>
        <w:ind w:firstLine="560" w:firstLineChars="200"/>
        <w:rPr>
          <w:rFonts w:cs="Times New Roman"/>
          <w:kern w:val="0"/>
          <w:szCs w:val="28"/>
        </w:rPr>
      </w:pPr>
      <w:r>
        <w:rPr>
          <w:rFonts w:cs="Times New Roman"/>
          <w:kern w:val="0"/>
          <w:szCs w:val="28"/>
        </w:rPr>
        <w:t>《浙江省经济和信息化厅浙江省应急管理厅关于公布全省县域危险化学品产业发展定位的通知》（浙经信材料</w:t>
      </w:r>
      <w:r>
        <w:rPr>
          <w:rFonts w:cs="Times New Roman"/>
          <w:snapToGrid w:val="0"/>
          <w:kern w:val="0"/>
          <w:szCs w:val="28"/>
        </w:rPr>
        <w:t>〔2019〕</w:t>
      </w:r>
      <w:r>
        <w:rPr>
          <w:rFonts w:cs="Times New Roman"/>
          <w:kern w:val="0"/>
          <w:szCs w:val="28"/>
        </w:rPr>
        <w:t>175号）</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《浙江省应急管理厅关于规范化工行业安全发展规划编制工作的通知》（浙应急危化〔2020〕67号）</w:t>
      </w:r>
    </w:p>
    <w:p>
      <w:pPr>
        <w:overflowPunct w:val="0"/>
        <w:adjustRightInd w:val="0"/>
        <w:snapToGrid w:val="0"/>
        <w:spacing w:line="360" w:lineRule="auto"/>
        <w:ind w:firstLine="560" w:firstLineChars="200"/>
        <w:rPr>
          <w:rFonts w:cs="Times New Roman"/>
          <w:snapToGrid w:val="0"/>
          <w:color w:val="000000"/>
          <w:kern w:val="0"/>
          <w:szCs w:val="28"/>
        </w:rPr>
      </w:pPr>
      <w:r>
        <w:rPr>
          <w:rFonts w:hint="eastAsia" w:cs="Times New Roman"/>
          <w:snapToGrid w:val="0"/>
          <w:color w:val="000000"/>
          <w:kern w:val="0"/>
          <w:szCs w:val="28"/>
        </w:rPr>
        <w:t>《宁波市化工行业安全发展规划（2021-2025年）》</w:t>
      </w:r>
    </w:p>
    <w:p>
      <w:pPr>
        <w:overflowPunct w:val="0"/>
        <w:adjustRightInd w:val="0"/>
        <w:snapToGrid w:val="0"/>
        <w:spacing w:line="360" w:lineRule="auto"/>
        <w:ind w:firstLine="560" w:firstLineChars="200"/>
        <w:rPr>
          <w:rFonts w:cs="Times New Roman"/>
          <w:snapToGrid w:val="0"/>
          <w:color w:val="000000"/>
          <w:kern w:val="0"/>
          <w:szCs w:val="28"/>
        </w:rPr>
      </w:pPr>
      <w:r>
        <w:rPr>
          <w:rFonts w:hint="eastAsia" w:ascii="宋体" w:hAnsi="宋体" w:cs="宋体"/>
          <w:color w:val="000000"/>
          <w:szCs w:val="28"/>
        </w:rPr>
        <w:t>《宁波市危险化学品道路运输安全管理规定》（政府令第2</w:t>
      </w:r>
      <w:r>
        <w:rPr>
          <w:rFonts w:ascii="宋体" w:hAnsi="宋体" w:cs="宋体"/>
          <w:color w:val="000000"/>
          <w:szCs w:val="28"/>
        </w:rPr>
        <w:t>68</w:t>
      </w:r>
      <w:r>
        <w:rPr>
          <w:rFonts w:hint="eastAsia" w:ascii="宋体" w:hAnsi="宋体" w:cs="宋体"/>
          <w:color w:val="000000"/>
          <w:szCs w:val="28"/>
        </w:rPr>
        <w:t>号）</w:t>
      </w:r>
    </w:p>
    <w:p>
      <w:pPr>
        <w:overflowPunct w:val="0"/>
        <w:adjustRightInd w:val="0"/>
        <w:snapToGrid w:val="0"/>
        <w:spacing w:line="360" w:lineRule="auto"/>
        <w:ind w:firstLine="560" w:firstLineChars="200"/>
        <w:rPr>
          <w:rFonts w:cs="Times New Roman"/>
          <w:snapToGrid w:val="0"/>
          <w:color w:val="000000"/>
          <w:kern w:val="0"/>
          <w:szCs w:val="28"/>
        </w:rPr>
      </w:pPr>
      <w:r>
        <w:rPr>
          <w:rFonts w:cs="Times New Roman"/>
          <w:snapToGrid w:val="0"/>
          <w:color w:val="000000"/>
          <w:kern w:val="0"/>
          <w:szCs w:val="28"/>
        </w:rPr>
        <w:t>《</w:t>
      </w:r>
      <w:r>
        <w:rPr>
          <w:rFonts w:hint="eastAsia" w:cs="Times New Roman"/>
          <w:snapToGrid w:val="0"/>
          <w:color w:val="000000"/>
          <w:kern w:val="0"/>
          <w:szCs w:val="28"/>
        </w:rPr>
        <w:t>宁波</w:t>
      </w:r>
      <w:r>
        <w:rPr>
          <w:rFonts w:cs="Times New Roman"/>
          <w:snapToGrid w:val="0"/>
          <w:color w:val="000000"/>
          <w:kern w:val="0"/>
          <w:szCs w:val="28"/>
        </w:rPr>
        <w:t>市奉化区国民经济和社会发展第十四个五年规划和二〇三五年远景目标纲要》</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《宁波市奉化区分区国土空间总体规划（2021-2035年）》（在编）</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《宁波市奉化区应急管理“十四五”规划》</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《宁波市奉化区危险化学品事故应急预案》</w:t>
      </w:r>
      <w:r>
        <w:rPr>
          <w:rFonts w:cs="Times New Roman"/>
          <w:snapToGrid w:val="0"/>
          <w:kern w:val="0"/>
          <w:szCs w:val="28"/>
        </w:rPr>
        <w:t>（</w:t>
      </w:r>
      <w:r>
        <w:rPr>
          <w:rFonts w:hint="eastAsia" w:cs="Times New Roman"/>
          <w:snapToGrid w:val="0"/>
          <w:kern w:val="0"/>
          <w:szCs w:val="28"/>
        </w:rPr>
        <w:t>奉政办发〔2022〕2号</w:t>
      </w:r>
      <w:r>
        <w:rPr>
          <w:rFonts w:cs="Times New Roman"/>
          <w:snapToGrid w:val="0"/>
          <w:kern w:val="0"/>
          <w:szCs w:val="28"/>
        </w:rPr>
        <w:t>）</w:t>
      </w:r>
    </w:p>
    <w:p>
      <w:pPr>
        <w:adjustRightInd w:val="0"/>
        <w:snapToGrid w:val="0"/>
        <w:spacing w:line="360" w:lineRule="auto"/>
        <w:ind w:firstLine="560" w:firstLineChars="200"/>
        <w:rPr>
          <w:rFonts w:ascii="宋体" w:hAnsi="宋体" w:cs="宋体"/>
          <w:color w:val="000000"/>
          <w:szCs w:val="28"/>
        </w:rPr>
      </w:pPr>
      <w:r>
        <w:rPr>
          <w:rFonts w:hint="eastAsia" w:cs="Times New Roman"/>
          <w:snapToGrid w:val="0"/>
          <w:kern w:val="0"/>
          <w:szCs w:val="28"/>
        </w:rPr>
        <w:t>《</w:t>
      </w:r>
      <w:r>
        <w:rPr>
          <w:rFonts w:hint="eastAsia" w:ascii="宋体" w:hAnsi="宋体" w:cs="宋体"/>
          <w:color w:val="000000"/>
          <w:szCs w:val="28"/>
        </w:rPr>
        <w:t>建筑防火通用规范</w:t>
      </w:r>
      <w:r>
        <w:rPr>
          <w:rFonts w:hint="eastAsia" w:cs="Times New Roman"/>
          <w:snapToGrid w:val="0"/>
          <w:kern w:val="0"/>
          <w:szCs w:val="28"/>
        </w:rPr>
        <w:t>》</w:t>
      </w:r>
      <w:r>
        <w:rPr>
          <w:rFonts w:cs="Times New Roman"/>
          <w:snapToGrid w:val="0"/>
          <w:kern w:val="0"/>
          <w:szCs w:val="28"/>
        </w:rPr>
        <w:t>GB 55037-2022</w:t>
      </w:r>
    </w:p>
    <w:p>
      <w:pPr>
        <w:adjustRightInd w:val="0"/>
        <w:snapToGrid w:val="0"/>
        <w:spacing w:line="360" w:lineRule="auto"/>
        <w:ind w:firstLine="560" w:firstLineChars="200"/>
        <w:rPr>
          <w:rFonts w:ascii="宋体" w:hAnsi="宋体" w:cs="宋体"/>
          <w:color w:val="000000"/>
          <w:szCs w:val="28"/>
        </w:rPr>
      </w:pPr>
      <w:r>
        <w:rPr>
          <w:rFonts w:hint="eastAsia" w:ascii="宋体" w:hAnsi="宋体" w:cs="宋体"/>
          <w:color w:val="000000"/>
          <w:szCs w:val="28"/>
        </w:rPr>
        <w:t>《建筑设计防火规范》</w:t>
      </w:r>
      <w:r>
        <w:rPr>
          <w:rFonts w:hint="eastAsia" w:cs="Times New Roman"/>
          <w:snapToGrid w:val="0"/>
          <w:kern w:val="0"/>
          <w:szCs w:val="28"/>
        </w:rPr>
        <w:t>GB 50016-2014（2018年版）</w:t>
      </w:r>
    </w:p>
    <w:p>
      <w:pPr>
        <w:adjustRightInd w:val="0"/>
        <w:snapToGrid w:val="0"/>
        <w:spacing w:line="360" w:lineRule="auto"/>
        <w:ind w:firstLine="560" w:firstLineChars="200"/>
        <w:rPr>
          <w:rFonts w:ascii="宋体" w:hAnsi="宋体" w:cs="宋体"/>
          <w:color w:val="000000"/>
          <w:szCs w:val="28"/>
        </w:rPr>
      </w:pPr>
      <w:r>
        <w:rPr>
          <w:rFonts w:hint="eastAsia" w:ascii="宋体" w:hAnsi="宋体" w:cs="宋体"/>
          <w:color w:val="000000"/>
          <w:szCs w:val="28"/>
        </w:rPr>
        <w:t>《危险化学品重大危险源辨识》</w:t>
      </w:r>
      <w:r>
        <w:rPr>
          <w:rFonts w:hint="eastAsia" w:cs="Times New Roman"/>
          <w:snapToGrid w:val="0"/>
          <w:kern w:val="0"/>
          <w:szCs w:val="28"/>
        </w:rPr>
        <w:t>GB 18218-2018</w:t>
      </w:r>
    </w:p>
    <w:p>
      <w:pPr>
        <w:adjustRightInd w:val="0"/>
        <w:snapToGrid w:val="0"/>
        <w:spacing w:line="360" w:lineRule="auto"/>
        <w:ind w:firstLine="560" w:firstLineChars="200"/>
        <w:rPr>
          <w:rFonts w:ascii="宋体" w:hAnsi="宋体" w:cs="宋体"/>
          <w:color w:val="000000"/>
          <w:szCs w:val="28"/>
        </w:rPr>
      </w:pPr>
      <w:r>
        <w:rPr>
          <w:rFonts w:hint="eastAsia" w:ascii="宋体" w:hAnsi="宋体" w:cs="宋体"/>
          <w:color w:val="000000"/>
          <w:szCs w:val="28"/>
        </w:rPr>
        <w:t>《危险化学品经营企业安全技术基本要求》</w:t>
      </w:r>
      <w:r>
        <w:rPr>
          <w:rFonts w:cs="Times New Roman"/>
          <w:snapToGrid w:val="0"/>
          <w:kern w:val="0"/>
          <w:szCs w:val="28"/>
        </w:rPr>
        <w:t>GB 18265-2019</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《危险化学品仓库储存通则》GB 15603-2022</w:t>
      </w:r>
    </w:p>
    <w:p>
      <w:pPr>
        <w:pStyle w:val="19"/>
        <w:ind w:firstLine="0" w:firstLineChars="0"/>
      </w:pPr>
    </w:p>
    <w:p>
      <w:pPr>
        <w:pStyle w:val="19"/>
        <w:ind w:firstLine="0" w:firstLineChars="0"/>
        <w:sectPr>
          <w:pgSz w:w="11906" w:h="16838"/>
          <w:pgMar w:top="1440" w:right="1800" w:bottom="1440" w:left="1800" w:header="851" w:footer="992" w:gutter="0"/>
          <w:cols w:space="425" w:num="1"/>
          <w:docGrid w:type="lines" w:linePitch="312" w:charSpace="0"/>
        </w:sectPr>
      </w:pPr>
    </w:p>
    <w:p>
      <w:pPr>
        <w:pStyle w:val="2"/>
        <w:spacing w:before="156" w:after="156"/>
      </w:pPr>
      <w:bookmarkStart w:id="8" w:name="_Toc136353152"/>
      <w:r>
        <w:rPr>
          <w:rFonts w:hint="eastAsia"/>
        </w:rPr>
        <w:t>2</w:t>
      </w:r>
      <w:r>
        <w:t xml:space="preserve"> </w:t>
      </w:r>
      <w:r>
        <w:rPr>
          <w:rFonts w:hint="eastAsia"/>
        </w:rPr>
        <w:t>区域概况</w:t>
      </w:r>
      <w:bookmarkEnd w:id="8"/>
    </w:p>
    <w:p>
      <w:pPr>
        <w:pStyle w:val="3"/>
        <w:spacing w:after="156"/>
      </w:pPr>
      <w:bookmarkStart w:id="9" w:name="_Toc136353153"/>
      <w:r>
        <w:t xml:space="preserve">2.1 </w:t>
      </w:r>
      <w:r>
        <w:rPr>
          <w:rFonts w:hint="eastAsia"/>
        </w:rPr>
        <w:t>社会经济发展概况</w:t>
      </w:r>
      <w:bookmarkEnd w:id="9"/>
    </w:p>
    <w:p>
      <w:pPr>
        <w:pStyle w:val="4"/>
      </w:pPr>
      <w:bookmarkStart w:id="10" w:name="_Toc136353154"/>
      <w:r>
        <w:t xml:space="preserve">2.1.1 </w:t>
      </w:r>
      <w:r>
        <w:rPr>
          <w:rFonts w:hint="eastAsia"/>
        </w:rPr>
        <w:t>区位交通</w:t>
      </w:r>
      <w:bookmarkEnd w:id="10"/>
    </w:p>
    <w:p>
      <w:r>
        <w:rPr>
          <w:rFonts w:hint="eastAsia"/>
        </w:rPr>
        <w:t xml:space="preserve"> </w:t>
      </w:r>
      <w:r>
        <w:t xml:space="preserve">   </w:t>
      </w:r>
      <w:r>
        <w:rPr>
          <w:rFonts w:hint="eastAsia"/>
        </w:rPr>
        <w:t>奉化区位于宁波市南部，东濒象山港，隔港与象山县相望，南连宁海县，西接新昌县、嵊州市和余姚市，北与海曙区、鄞州区相交，是宁波中心城南翼的重要发展空间。对外交通基本形成了以杭深高铁和沈海、甬金高速公路为脊梁，以2</w:t>
      </w:r>
      <w:r>
        <w:t>28</w:t>
      </w:r>
      <w:r>
        <w:rPr>
          <w:rFonts w:hint="eastAsia"/>
        </w:rPr>
        <w:t>国道和2</w:t>
      </w:r>
      <w:r>
        <w:t>13</w:t>
      </w:r>
      <w:r>
        <w:rPr>
          <w:rFonts w:hint="eastAsia"/>
        </w:rPr>
        <w:t>、</w:t>
      </w:r>
      <w:r>
        <w:t>214</w:t>
      </w:r>
      <w:r>
        <w:rPr>
          <w:rFonts w:hint="eastAsia"/>
        </w:rPr>
        <w:t>、3</w:t>
      </w:r>
      <w:r>
        <w:t>09</w:t>
      </w:r>
      <w:r>
        <w:rPr>
          <w:rFonts w:hint="eastAsia"/>
        </w:rPr>
        <w:t>省道及沿海中线等道路为骨架的南北畅通快速系统。区域内部初步建立起与“一体两翼”空间发展格局相适应的东西交通路网。</w:t>
      </w:r>
    </w:p>
    <w:p>
      <w:pPr>
        <w:pStyle w:val="4"/>
      </w:pPr>
      <w:bookmarkStart w:id="11" w:name="_Toc136353155"/>
      <w:r>
        <w:t xml:space="preserve">2.1.2 </w:t>
      </w:r>
      <w:r>
        <w:rPr>
          <w:rFonts w:hint="eastAsia"/>
        </w:rPr>
        <w:t>经济发展</w:t>
      </w:r>
      <w:bookmarkEnd w:id="11"/>
    </w:p>
    <w:p>
      <w:pPr>
        <w:overflowPunct w:val="0"/>
        <w:adjustRightInd w:val="0"/>
        <w:snapToGrid w:val="0"/>
        <w:spacing w:line="360" w:lineRule="auto"/>
        <w:ind w:firstLine="560" w:firstLineChars="200"/>
      </w:pPr>
      <w:r>
        <w:t>2022</w:t>
      </w:r>
      <w:r>
        <w:rPr>
          <w:rFonts w:hint="eastAsia"/>
        </w:rPr>
        <w:t>年，奉化区实现地区生产总值907.28亿元，增长2.4%。第一产业实现增加值35.98亿元，增长3.9%；第二产业实现增加值547.37亿元，增长1.0%；第三产业实现增加值323.93亿元，增长4.5%。三次产业之比为4.0:60.3:35.7。重点产业包括气动元件、纺织服装、汽车及摩托车零部件、厨卫家居等。</w:t>
      </w:r>
    </w:p>
    <w:p>
      <w:pPr>
        <w:pStyle w:val="3"/>
        <w:spacing w:after="156"/>
      </w:pPr>
      <w:bookmarkStart w:id="12" w:name="_Toc136353156"/>
      <w:r>
        <w:t xml:space="preserve">2.2 </w:t>
      </w:r>
      <w:r>
        <w:rPr>
          <w:rFonts w:hint="eastAsia"/>
        </w:rPr>
        <w:t>危险化学品经营现状</w:t>
      </w:r>
      <w:bookmarkEnd w:id="12"/>
    </w:p>
    <w:p>
      <w:pPr>
        <w:adjustRightInd w:val="0"/>
        <w:snapToGrid w:val="0"/>
        <w:spacing w:line="360" w:lineRule="auto"/>
        <w:ind w:firstLine="560" w:firstLineChars="200"/>
        <w:rPr>
          <w:rFonts w:cs="Times New Roman"/>
          <w:szCs w:val="28"/>
        </w:rPr>
      </w:pPr>
      <w:r>
        <w:rPr>
          <w:rFonts w:cs="Times New Roman"/>
          <w:szCs w:val="28"/>
        </w:rPr>
        <w:t>奉化区</w:t>
      </w:r>
      <w:r>
        <w:rPr>
          <w:rFonts w:hint="eastAsia" w:cs="Times New Roman"/>
          <w:szCs w:val="28"/>
        </w:rPr>
        <w:t>内的危险化学品经营</w:t>
      </w:r>
      <w:r>
        <w:rPr>
          <w:rFonts w:cs="Times New Roman"/>
          <w:szCs w:val="28"/>
        </w:rPr>
        <w:t>以服务配套当地产业</w:t>
      </w:r>
      <w:r>
        <w:rPr>
          <w:rFonts w:hint="eastAsia" w:cs="Times New Roman"/>
          <w:szCs w:val="28"/>
        </w:rPr>
        <w:t>和城市建设及运行</w:t>
      </w:r>
      <w:r>
        <w:rPr>
          <w:rFonts w:cs="Times New Roman"/>
          <w:szCs w:val="28"/>
        </w:rPr>
        <w:t>为主，包括</w:t>
      </w:r>
      <w:r>
        <w:rPr>
          <w:rFonts w:hint="eastAsia" w:cs="Times New Roman"/>
          <w:szCs w:val="28"/>
        </w:rPr>
        <w:t>工业气体、酸碱类、化工助剂、</w:t>
      </w:r>
      <w:r>
        <w:rPr>
          <w:rFonts w:cs="Times New Roman"/>
          <w:szCs w:val="28"/>
        </w:rPr>
        <w:t>油漆涂料等产品，是奉化区国民经济发展不可缺少的行业。</w:t>
      </w:r>
    </w:p>
    <w:p>
      <w:pPr>
        <w:overflowPunct w:val="0"/>
        <w:adjustRightInd w:val="0"/>
        <w:snapToGrid w:val="0"/>
        <w:spacing w:line="360" w:lineRule="auto"/>
        <w:ind w:firstLine="560" w:firstLineChars="200"/>
        <w:rPr>
          <w:rFonts w:cs="Times New Roman"/>
          <w:snapToGrid w:val="0"/>
          <w:kern w:val="0"/>
          <w:szCs w:val="28"/>
        </w:rPr>
      </w:pPr>
      <w:r>
        <w:rPr>
          <w:rFonts w:cs="Times New Roman"/>
          <w:szCs w:val="28"/>
          <w:lang w:val="zh-CN"/>
        </w:rPr>
        <w:t>截止到2023年3月，奉化区共有</w:t>
      </w:r>
      <w:r>
        <w:rPr>
          <w:rFonts w:cs="Times New Roman"/>
          <w:snapToGrid w:val="0"/>
          <w:kern w:val="0"/>
          <w:szCs w:val="28"/>
        </w:rPr>
        <w:t>危险化学品</w:t>
      </w:r>
      <w:r>
        <w:rPr>
          <w:rFonts w:hint="eastAsia" w:cs="Times New Roman"/>
          <w:snapToGrid w:val="0"/>
          <w:kern w:val="0"/>
          <w:szCs w:val="28"/>
        </w:rPr>
        <w:t>经营（许可）企业4</w:t>
      </w:r>
      <w:r>
        <w:rPr>
          <w:rFonts w:cs="Times New Roman"/>
          <w:snapToGrid w:val="0"/>
          <w:kern w:val="0"/>
          <w:szCs w:val="28"/>
        </w:rPr>
        <w:t>6</w:t>
      </w:r>
      <w:r>
        <w:rPr>
          <w:rFonts w:hint="eastAsia" w:cs="Times New Roman"/>
          <w:snapToGrid w:val="0"/>
          <w:kern w:val="0"/>
          <w:szCs w:val="28"/>
        </w:rPr>
        <w:t>家</w:t>
      </w:r>
      <w:r>
        <w:rPr>
          <w:rFonts w:cs="Times New Roman"/>
          <w:snapToGrid w:val="0"/>
          <w:kern w:val="0"/>
          <w:szCs w:val="28"/>
        </w:rPr>
        <w:t>（不含加油站）</w:t>
      </w:r>
      <w:r>
        <w:rPr>
          <w:rFonts w:hint="eastAsia" w:cs="Times New Roman"/>
          <w:snapToGrid w:val="0"/>
          <w:kern w:val="0"/>
          <w:szCs w:val="28"/>
        </w:rPr>
        <w:t>，其中，</w:t>
      </w:r>
      <w:r>
        <w:rPr>
          <w:rFonts w:cs="Times New Roman"/>
          <w:snapToGrid w:val="0"/>
          <w:kern w:val="0"/>
          <w:szCs w:val="28"/>
        </w:rPr>
        <w:t>经营带储存企业</w:t>
      </w:r>
      <w:r>
        <w:rPr>
          <w:rFonts w:cs="Times New Roman"/>
          <w:szCs w:val="28"/>
        </w:rPr>
        <w:t>5</w:t>
      </w:r>
      <w:r>
        <w:rPr>
          <w:rFonts w:cs="Times New Roman"/>
          <w:szCs w:val="28"/>
          <w:lang w:val="zh-CN"/>
        </w:rPr>
        <w:t>家，</w:t>
      </w:r>
      <w:r>
        <w:rPr>
          <w:rFonts w:cs="Times New Roman"/>
          <w:snapToGrid w:val="0"/>
          <w:kern w:val="0"/>
          <w:szCs w:val="28"/>
        </w:rPr>
        <w:t>主要涉及</w:t>
      </w:r>
      <w:r>
        <w:rPr>
          <w:rFonts w:hint="eastAsia" w:cs="Times New Roman"/>
          <w:snapToGrid w:val="0"/>
          <w:kern w:val="0"/>
          <w:szCs w:val="28"/>
        </w:rPr>
        <w:t>工业</w:t>
      </w:r>
      <w:r>
        <w:rPr>
          <w:rFonts w:cs="Times New Roman"/>
          <w:snapToGrid w:val="0"/>
          <w:kern w:val="0"/>
          <w:szCs w:val="28"/>
        </w:rPr>
        <w:t>气体、酸碱等</w:t>
      </w:r>
      <w:r>
        <w:rPr>
          <w:rFonts w:hint="eastAsia" w:cs="Times New Roman"/>
          <w:snapToGrid w:val="0"/>
          <w:kern w:val="0"/>
          <w:szCs w:val="28"/>
        </w:rPr>
        <w:t>类别的</w:t>
      </w:r>
      <w:r>
        <w:rPr>
          <w:rFonts w:cs="Times New Roman"/>
          <w:snapToGrid w:val="0"/>
          <w:kern w:val="0"/>
          <w:szCs w:val="28"/>
        </w:rPr>
        <w:t>危险化学品</w:t>
      </w:r>
      <w:r>
        <w:rPr>
          <w:rFonts w:hint="eastAsia" w:cs="Times New Roman"/>
          <w:snapToGrid w:val="0"/>
          <w:kern w:val="0"/>
          <w:szCs w:val="28"/>
        </w:rPr>
        <w:t>；店面零售企业1</w:t>
      </w:r>
      <w:r>
        <w:rPr>
          <w:rFonts w:cs="Times New Roman"/>
          <w:snapToGrid w:val="0"/>
          <w:kern w:val="0"/>
          <w:szCs w:val="28"/>
        </w:rPr>
        <w:t>3</w:t>
      </w:r>
      <w:r>
        <w:rPr>
          <w:rFonts w:hint="eastAsia" w:cs="Times New Roman"/>
          <w:snapToGrid w:val="0"/>
          <w:kern w:val="0"/>
          <w:szCs w:val="28"/>
        </w:rPr>
        <w:t>家，其中工业气体类8家、油漆涂料类4家、硫磺粉（橡胶助剂）1家；票据贸易企业2</w:t>
      </w:r>
      <w:r>
        <w:rPr>
          <w:rFonts w:cs="Times New Roman"/>
          <w:snapToGrid w:val="0"/>
          <w:kern w:val="0"/>
          <w:szCs w:val="28"/>
        </w:rPr>
        <w:t>8</w:t>
      </w:r>
      <w:r>
        <w:rPr>
          <w:rFonts w:hint="eastAsia" w:cs="Times New Roman"/>
          <w:snapToGrid w:val="0"/>
          <w:kern w:val="0"/>
          <w:szCs w:val="28"/>
        </w:rPr>
        <w:t>家。</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根据工商注册信息，奉化区内经营范围包含油漆涂料的店铺共有8</w:t>
      </w:r>
      <w:r>
        <w:rPr>
          <w:rFonts w:cs="Times New Roman"/>
          <w:snapToGrid w:val="0"/>
          <w:kern w:val="0"/>
          <w:szCs w:val="28"/>
        </w:rPr>
        <w:t>4</w:t>
      </w:r>
      <w:r>
        <w:rPr>
          <w:rFonts w:hint="eastAsia" w:cs="Times New Roman"/>
          <w:snapToGrid w:val="0"/>
          <w:kern w:val="0"/>
          <w:szCs w:val="28"/>
        </w:rPr>
        <w:t>家，其中，8</w:t>
      </w:r>
      <w:r>
        <w:rPr>
          <w:rFonts w:cs="Times New Roman"/>
          <w:snapToGrid w:val="0"/>
          <w:kern w:val="0"/>
          <w:szCs w:val="28"/>
        </w:rPr>
        <w:t>0</w:t>
      </w:r>
      <w:r>
        <w:rPr>
          <w:rFonts w:hint="eastAsia" w:cs="Times New Roman"/>
          <w:snapToGrid w:val="0"/>
          <w:kern w:val="0"/>
          <w:szCs w:val="28"/>
        </w:rPr>
        <w:t>家未领取危险化学品经营许可证，部分未经许可的店铺私下违规销售含危险化学品的油漆涂料及其稀释剂。</w:t>
      </w:r>
    </w:p>
    <w:p>
      <w:pPr>
        <w:overflowPunct w:val="0"/>
        <w:adjustRightInd w:val="0"/>
        <w:snapToGrid w:val="0"/>
        <w:spacing w:line="360" w:lineRule="auto"/>
        <w:ind w:firstLine="480" w:firstLineChars="200"/>
        <w:jc w:val="center"/>
        <w:rPr>
          <w:rFonts w:cs="Times New Roman"/>
          <w:snapToGrid w:val="0"/>
          <w:kern w:val="0"/>
          <w:sz w:val="24"/>
          <w:szCs w:val="24"/>
        </w:rPr>
      </w:pPr>
      <w:r>
        <w:rPr>
          <w:rFonts w:cs="Times New Roman"/>
          <w:snapToGrid w:val="0"/>
          <w:kern w:val="0"/>
          <w:sz w:val="24"/>
          <w:szCs w:val="24"/>
        </w:rPr>
        <w:t>表2.1 危险化学品经营带储存企业现状分布情况表</w:t>
      </w:r>
    </w:p>
    <w:tbl>
      <w:tblPr>
        <w:tblStyle w:val="12"/>
        <w:tblW w:w="52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3788"/>
        <w:gridCol w:w="1018"/>
        <w:gridCol w:w="1745"/>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4" w:space="0"/>
              <w:left w:val="single" w:color="auto" w:sz="4" w:space="0"/>
              <w:bottom w:val="single" w:color="auto" w:sz="4" w:space="0"/>
              <w:right w:val="single" w:color="auto" w:sz="4" w:space="0"/>
            </w:tcBorders>
            <w:shd w:val="clear" w:color="auto" w:fill="E7E6E6"/>
            <w:vAlign w:val="center"/>
          </w:tcPr>
          <w:p>
            <w:pPr>
              <w:overflowPunct w:val="0"/>
              <w:adjustRightInd w:val="0"/>
              <w:snapToGrid w:val="0"/>
              <w:rPr>
                <w:rFonts w:cs="Times New Roman"/>
                <w:snapToGrid w:val="0"/>
                <w:kern w:val="0"/>
                <w:sz w:val="24"/>
                <w:szCs w:val="21"/>
              </w:rPr>
            </w:pPr>
            <w:r>
              <w:rPr>
                <w:rFonts w:cs="Times New Roman"/>
                <w:snapToGrid w:val="0"/>
                <w:kern w:val="0"/>
                <w:sz w:val="24"/>
                <w:szCs w:val="21"/>
              </w:rPr>
              <w:t>序号</w:t>
            </w:r>
          </w:p>
        </w:tc>
        <w:tc>
          <w:tcPr>
            <w:tcW w:w="2099" w:type="pct"/>
            <w:tcBorders>
              <w:top w:val="single" w:color="auto" w:sz="4" w:space="0"/>
              <w:left w:val="single" w:color="auto" w:sz="4" w:space="0"/>
              <w:bottom w:val="single" w:color="auto" w:sz="4" w:space="0"/>
              <w:right w:val="single" w:color="auto" w:sz="4" w:space="0"/>
            </w:tcBorders>
            <w:shd w:val="clear" w:color="auto" w:fill="E7E6E6"/>
            <w:vAlign w:val="center"/>
          </w:tcPr>
          <w:p>
            <w:pPr>
              <w:overflowPunct w:val="0"/>
              <w:adjustRightInd w:val="0"/>
              <w:snapToGrid w:val="0"/>
              <w:jc w:val="center"/>
              <w:rPr>
                <w:rFonts w:cs="Times New Roman"/>
                <w:snapToGrid w:val="0"/>
                <w:kern w:val="0"/>
                <w:sz w:val="24"/>
                <w:szCs w:val="21"/>
              </w:rPr>
            </w:pPr>
            <w:r>
              <w:rPr>
                <w:rFonts w:hint="eastAsia" w:cs="Times New Roman"/>
                <w:snapToGrid w:val="0"/>
                <w:kern w:val="0"/>
                <w:sz w:val="24"/>
                <w:szCs w:val="21"/>
              </w:rPr>
              <w:t>企业名称</w:t>
            </w:r>
          </w:p>
        </w:tc>
        <w:tc>
          <w:tcPr>
            <w:tcW w:w="564" w:type="pct"/>
            <w:tcBorders>
              <w:top w:val="single" w:color="auto" w:sz="4" w:space="0"/>
              <w:left w:val="single" w:color="auto" w:sz="4" w:space="0"/>
              <w:bottom w:val="single" w:color="auto" w:sz="4" w:space="0"/>
              <w:right w:val="single" w:color="auto" w:sz="4" w:space="0"/>
            </w:tcBorders>
            <w:shd w:val="clear" w:color="auto" w:fill="E7E6E6"/>
          </w:tcPr>
          <w:p>
            <w:pPr>
              <w:overflowPunct w:val="0"/>
              <w:adjustRightInd w:val="0"/>
              <w:snapToGrid w:val="0"/>
              <w:jc w:val="center"/>
              <w:rPr>
                <w:rFonts w:cs="Times New Roman"/>
                <w:snapToGrid w:val="0"/>
                <w:kern w:val="0"/>
                <w:sz w:val="24"/>
                <w:szCs w:val="21"/>
              </w:rPr>
            </w:pPr>
            <w:r>
              <w:rPr>
                <w:rFonts w:cs="Times New Roman"/>
                <w:snapToGrid w:val="0"/>
                <w:kern w:val="0"/>
                <w:sz w:val="24"/>
                <w:szCs w:val="21"/>
              </w:rPr>
              <w:t>所在地</w:t>
            </w:r>
          </w:p>
        </w:tc>
        <w:tc>
          <w:tcPr>
            <w:tcW w:w="967" w:type="pct"/>
            <w:tcBorders>
              <w:top w:val="single" w:color="auto" w:sz="4" w:space="0"/>
              <w:left w:val="single" w:color="auto" w:sz="4" w:space="0"/>
              <w:bottom w:val="single" w:color="auto" w:sz="4" w:space="0"/>
              <w:right w:val="single" w:color="auto" w:sz="4" w:space="0"/>
            </w:tcBorders>
            <w:shd w:val="clear" w:color="auto" w:fill="E7E6E6"/>
          </w:tcPr>
          <w:p>
            <w:pPr>
              <w:overflowPunct w:val="0"/>
              <w:adjustRightInd w:val="0"/>
              <w:snapToGrid w:val="0"/>
              <w:jc w:val="center"/>
              <w:rPr>
                <w:rFonts w:cs="Times New Roman"/>
                <w:snapToGrid w:val="0"/>
                <w:kern w:val="0"/>
                <w:sz w:val="24"/>
                <w:szCs w:val="21"/>
              </w:rPr>
            </w:pPr>
            <w:r>
              <w:rPr>
                <w:rFonts w:hint="eastAsia" w:cs="Times New Roman"/>
                <w:snapToGrid w:val="0"/>
                <w:kern w:val="0"/>
                <w:sz w:val="24"/>
                <w:szCs w:val="21"/>
              </w:rPr>
              <w:t>储存地址</w:t>
            </w:r>
          </w:p>
        </w:tc>
        <w:tc>
          <w:tcPr>
            <w:tcW w:w="968" w:type="pct"/>
            <w:tcBorders>
              <w:top w:val="single" w:color="auto" w:sz="4" w:space="0"/>
              <w:left w:val="single" w:color="auto" w:sz="4" w:space="0"/>
              <w:bottom w:val="single" w:color="auto" w:sz="4" w:space="0"/>
              <w:right w:val="single" w:color="auto" w:sz="4" w:space="0"/>
            </w:tcBorders>
            <w:shd w:val="clear" w:color="auto" w:fill="E7E6E6"/>
          </w:tcPr>
          <w:p>
            <w:pPr>
              <w:overflowPunct w:val="0"/>
              <w:adjustRightInd w:val="0"/>
              <w:snapToGrid w:val="0"/>
              <w:jc w:val="center"/>
              <w:rPr>
                <w:rFonts w:cs="Times New Roman"/>
                <w:snapToGrid w:val="0"/>
                <w:kern w:val="0"/>
                <w:sz w:val="24"/>
                <w:szCs w:val="21"/>
              </w:rPr>
            </w:pPr>
            <w:r>
              <w:rPr>
                <w:rFonts w:hint="eastAsia" w:cs="Times New Roman"/>
                <w:snapToGrid w:val="0"/>
                <w:kern w:val="0"/>
                <w:sz w:val="24"/>
                <w:szCs w:val="21"/>
              </w:rPr>
              <w:t>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cs="Times New Roman"/>
                <w:snapToGrid w:val="0"/>
                <w:kern w:val="0"/>
                <w:sz w:val="24"/>
                <w:szCs w:val="24"/>
              </w:rPr>
              <w:t>1</w:t>
            </w:r>
          </w:p>
        </w:tc>
        <w:tc>
          <w:tcPr>
            <w:tcW w:w="2099"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ascii="宋体" w:hAnsi="宋体"/>
                <w:color w:val="000000" w:themeColor="text1"/>
                <w:sz w:val="24"/>
                <w:szCs w:val="24"/>
                <w14:textFill>
                  <w14:solidFill>
                    <w14:schemeClr w14:val="tx1"/>
                  </w14:solidFill>
                </w14:textFill>
              </w:rPr>
              <w:t>宁波市奉化区众拓化工有限公司</w:t>
            </w:r>
          </w:p>
        </w:tc>
        <w:tc>
          <w:tcPr>
            <w:tcW w:w="56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ascii="宋体" w:hAnsi="宋体"/>
                <w:color w:val="000000"/>
                <w:sz w:val="24"/>
                <w:szCs w:val="24"/>
              </w:rPr>
              <w:t>江口</w:t>
            </w:r>
          </w:p>
        </w:tc>
        <w:tc>
          <w:tcPr>
            <w:tcW w:w="967"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山头朱村大岙</w:t>
            </w:r>
          </w:p>
        </w:tc>
        <w:tc>
          <w:tcPr>
            <w:tcW w:w="968"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酸碱类液体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cs="Times New Roman"/>
                <w:snapToGrid w:val="0"/>
                <w:kern w:val="0"/>
                <w:sz w:val="24"/>
                <w:szCs w:val="24"/>
              </w:rPr>
              <w:t>2</w:t>
            </w:r>
          </w:p>
        </w:tc>
        <w:tc>
          <w:tcPr>
            <w:tcW w:w="2099"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宁波奉化尚田大丰气体有限公司</w:t>
            </w:r>
          </w:p>
        </w:tc>
        <w:tc>
          <w:tcPr>
            <w:tcW w:w="56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尚田</w:t>
            </w:r>
          </w:p>
        </w:tc>
        <w:tc>
          <w:tcPr>
            <w:tcW w:w="967"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孙家开发区</w:t>
            </w:r>
          </w:p>
        </w:tc>
        <w:tc>
          <w:tcPr>
            <w:tcW w:w="968"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工业气体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cs="Times New Roman"/>
                <w:snapToGrid w:val="0"/>
                <w:kern w:val="0"/>
                <w:sz w:val="24"/>
                <w:szCs w:val="24"/>
              </w:rPr>
              <w:t>3</w:t>
            </w:r>
          </w:p>
        </w:tc>
        <w:tc>
          <w:tcPr>
            <w:tcW w:w="2099"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宁波凯普乐贸易有限公司</w:t>
            </w:r>
          </w:p>
        </w:tc>
        <w:tc>
          <w:tcPr>
            <w:tcW w:w="56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莼湖</w:t>
            </w:r>
          </w:p>
        </w:tc>
        <w:tc>
          <w:tcPr>
            <w:tcW w:w="967"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楼二村</w:t>
            </w:r>
          </w:p>
        </w:tc>
        <w:tc>
          <w:tcPr>
            <w:tcW w:w="968"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片碱等固体类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cs="Times New Roman"/>
                <w:snapToGrid w:val="0"/>
                <w:kern w:val="0"/>
                <w:sz w:val="24"/>
                <w:szCs w:val="24"/>
              </w:rPr>
              <w:t>4</w:t>
            </w:r>
          </w:p>
        </w:tc>
        <w:tc>
          <w:tcPr>
            <w:tcW w:w="2099"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宁波奉化莼湖阳光气体有限公司</w:t>
            </w:r>
          </w:p>
        </w:tc>
        <w:tc>
          <w:tcPr>
            <w:tcW w:w="56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莼湖</w:t>
            </w:r>
          </w:p>
        </w:tc>
        <w:tc>
          <w:tcPr>
            <w:tcW w:w="967"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陈三村</w:t>
            </w:r>
          </w:p>
        </w:tc>
        <w:tc>
          <w:tcPr>
            <w:tcW w:w="968"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工业气体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cs="Times New Roman"/>
                <w:snapToGrid w:val="0"/>
                <w:kern w:val="0"/>
                <w:sz w:val="24"/>
                <w:szCs w:val="24"/>
              </w:rPr>
              <w:t>5</w:t>
            </w:r>
          </w:p>
        </w:tc>
        <w:tc>
          <w:tcPr>
            <w:tcW w:w="2099"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宁波市奉化裘村金龙助剂厂</w:t>
            </w:r>
          </w:p>
        </w:tc>
        <w:tc>
          <w:tcPr>
            <w:tcW w:w="564" w:type="pct"/>
            <w:tcBorders>
              <w:top w:val="single" w:color="auto" w:sz="4" w:space="0"/>
              <w:left w:val="single" w:color="auto" w:sz="4" w:space="0"/>
              <w:bottom w:val="single" w:color="auto" w:sz="4" w:space="0"/>
              <w:right w:val="single" w:color="auto" w:sz="4" w:space="0"/>
            </w:tcBorders>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裘村</w:t>
            </w:r>
          </w:p>
        </w:tc>
        <w:tc>
          <w:tcPr>
            <w:tcW w:w="967"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裘四村</w:t>
            </w:r>
          </w:p>
        </w:tc>
        <w:tc>
          <w:tcPr>
            <w:tcW w:w="968" w:type="pct"/>
            <w:tcBorders>
              <w:top w:val="single" w:color="auto" w:sz="4" w:space="0"/>
              <w:left w:val="single" w:color="auto" w:sz="4" w:space="0"/>
              <w:bottom w:val="single" w:color="auto" w:sz="4" w:space="0"/>
              <w:right w:val="single" w:color="auto" w:sz="4" w:space="0"/>
            </w:tcBorders>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硫磺粉</w:t>
            </w:r>
          </w:p>
        </w:tc>
      </w:tr>
    </w:tbl>
    <w:p>
      <w:pPr>
        <w:overflowPunct w:val="0"/>
        <w:adjustRightInd w:val="0"/>
        <w:snapToGrid w:val="0"/>
        <w:spacing w:line="360" w:lineRule="auto"/>
        <w:ind w:firstLine="560" w:firstLineChars="200"/>
        <w:rPr>
          <w:rFonts w:cs="Times New Roman"/>
          <w:snapToGrid w:val="0"/>
          <w:kern w:val="0"/>
          <w:szCs w:val="28"/>
        </w:rPr>
      </w:pP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奉化区内危险化学品带储存经营</w:t>
      </w:r>
      <w:r>
        <w:rPr>
          <w:rFonts w:hint="eastAsia" w:cs="Times New Roman"/>
          <w:snapToGrid w:val="0"/>
          <w:kern w:val="0"/>
          <w:szCs w:val="28"/>
        </w:rPr>
        <w:t>、店面零售和部分票据贸易</w:t>
      </w:r>
      <w:r>
        <w:rPr>
          <w:rFonts w:cs="Times New Roman"/>
          <w:snapToGrid w:val="0"/>
          <w:kern w:val="0"/>
          <w:szCs w:val="28"/>
        </w:rPr>
        <w:t>企业详细信息见附</w:t>
      </w:r>
      <w:r>
        <w:rPr>
          <w:rFonts w:hint="eastAsia" w:cs="Times New Roman"/>
          <w:snapToGrid w:val="0"/>
          <w:kern w:val="0"/>
          <w:szCs w:val="28"/>
        </w:rPr>
        <w:t>表1</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目前，奉化区</w:t>
      </w:r>
      <w:r>
        <w:rPr>
          <w:rFonts w:hint="eastAsia" w:cs="Times New Roman"/>
          <w:snapToGrid w:val="0"/>
          <w:kern w:val="0"/>
          <w:szCs w:val="28"/>
        </w:rPr>
        <w:t>没有</w:t>
      </w:r>
      <w:r>
        <w:rPr>
          <w:rFonts w:cs="Times New Roman"/>
          <w:snapToGrid w:val="0"/>
          <w:kern w:val="0"/>
          <w:szCs w:val="28"/>
        </w:rPr>
        <w:t>危险货物运输企业</w:t>
      </w:r>
      <w:r>
        <w:rPr>
          <w:rFonts w:hint="eastAsia" w:cs="Times New Roman"/>
          <w:snapToGrid w:val="0"/>
          <w:kern w:val="0"/>
          <w:szCs w:val="28"/>
        </w:rPr>
        <w:t>，实际在用的</w:t>
      </w:r>
      <w:r>
        <w:rPr>
          <w:rFonts w:cs="Times New Roman"/>
          <w:snapToGrid w:val="0"/>
          <w:kern w:val="0"/>
          <w:szCs w:val="28"/>
        </w:rPr>
        <w:t>危险化学品运输车辆登记注册</w:t>
      </w:r>
      <w:r>
        <w:rPr>
          <w:rFonts w:hint="eastAsia" w:cs="Times New Roman"/>
          <w:snapToGrid w:val="0"/>
          <w:kern w:val="0"/>
          <w:szCs w:val="28"/>
        </w:rPr>
        <w:t>在宁波市其它城区</w:t>
      </w:r>
      <w:r>
        <w:rPr>
          <w:rFonts w:cs="Times New Roman"/>
          <w:snapToGrid w:val="0"/>
          <w:kern w:val="0"/>
          <w:szCs w:val="28"/>
        </w:rPr>
        <w:t>。</w:t>
      </w:r>
      <w:r>
        <w:rPr>
          <w:rFonts w:hint="eastAsia"/>
        </w:rPr>
        <w:t>奉化区也没有专门的危险化学品车辆公共停车场所。</w:t>
      </w:r>
    </w:p>
    <w:p>
      <w:pPr>
        <w:pStyle w:val="3"/>
        <w:spacing w:after="156"/>
      </w:pPr>
      <w:bookmarkStart w:id="13" w:name="_Toc136353157"/>
      <w:r>
        <w:rPr>
          <w:rFonts w:hint="eastAsia"/>
        </w:rPr>
        <w:t>2.</w:t>
      </w:r>
      <w:r>
        <w:t xml:space="preserve">3 </w:t>
      </w:r>
      <w:r>
        <w:rPr>
          <w:rFonts w:hint="eastAsia"/>
        </w:rPr>
        <w:t>危险化学品监管现状</w:t>
      </w:r>
      <w:bookmarkEnd w:id="13"/>
    </w:p>
    <w:p>
      <w:pPr>
        <w:pStyle w:val="4"/>
      </w:pPr>
      <w:bookmarkStart w:id="14" w:name="_Toc136353158"/>
      <w:r>
        <w:t xml:space="preserve">2.3.1 </w:t>
      </w:r>
      <w:r>
        <w:rPr>
          <w:rFonts w:hint="eastAsia"/>
        </w:rPr>
        <w:t>危险化学品安全监管体系与手段</w:t>
      </w:r>
      <w:bookmarkEnd w:id="14"/>
    </w:p>
    <w:p>
      <w:pPr>
        <w:overflowPunct w:val="0"/>
        <w:adjustRightInd w:val="0"/>
        <w:snapToGrid w:val="0"/>
        <w:spacing w:line="360" w:lineRule="auto"/>
        <w:ind w:firstLine="560" w:firstLineChars="200"/>
        <w:rPr>
          <w:rFonts w:cs="Times New Roman"/>
          <w:snapToGrid w:val="0"/>
          <w:color w:val="FF0000"/>
          <w:kern w:val="0"/>
          <w:szCs w:val="28"/>
        </w:rPr>
      </w:pPr>
      <w:r>
        <w:rPr>
          <w:rFonts w:cs="Times New Roman"/>
          <w:snapToGrid w:val="0"/>
          <w:kern w:val="0"/>
          <w:szCs w:val="28"/>
        </w:rPr>
        <w:t>（1）安全监管</w:t>
      </w:r>
      <w:r>
        <w:rPr>
          <w:rFonts w:hint="eastAsia" w:cs="Times New Roman"/>
          <w:snapToGrid w:val="0"/>
          <w:kern w:val="0"/>
          <w:szCs w:val="28"/>
        </w:rPr>
        <w:t>体系</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区应急管理局负责危险化学品行业的安全监督管理工作，依法实施安全生产行政许可，组织开展职责范围内的危险化学品领域打非治违、专项整治、行政执法工作；区发改局、区经信局、区公安分局、区自然资源和规划分局、区生态环境分局、区交通运输局、区市场监管局在各自职责范围内依法加强危险化学品安全生产监督管理；街道（镇）应急消防所通过排查、指导和宣传等方式开展危险化学品综合治理。</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（2）安全监管手段</w:t>
      </w:r>
    </w:p>
    <w:p>
      <w:pPr>
        <w:overflowPunct w:val="0"/>
        <w:adjustRightInd w:val="0"/>
        <w:snapToGrid w:val="0"/>
        <w:spacing w:line="360" w:lineRule="auto"/>
        <w:ind w:firstLine="560" w:firstLineChars="200"/>
      </w:pPr>
      <w:r>
        <w:rPr>
          <w:rFonts w:hint="eastAsia"/>
        </w:rPr>
        <w:t>面对量大面广、各类风险点交织复杂的监管对象，部分不适应新形势新变化的传统管理模式进一步转化。危险化学品监管正在从分散向集中转变。积极运用宁波危险化学品全链条安全风险智控场景应用和浙江省危险化学品全生命周期在线平台等数字化监管手段，提升监管效能。</w:t>
      </w:r>
    </w:p>
    <w:p>
      <w:pPr>
        <w:pStyle w:val="4"/>
      </w:pPr>
      <w:bookmarkStart w:id="15" w:name="_Toc136353159"/>
      <w:r>
        <w:t xml:space="preserve">2.3.2 </w:t>
      </w:r>
      <w:r>
        <w:rPr>
          <w:rFonts w:hint="eastAsia"/>
        </w:rPr>
        <w:t>危险化学品应急救援能力</w:t>
      </w:r>
      <w:bookmarkEnd w:id="15"/>
    </w:p>
    <w:p>
      <w:pPr>
        <w:spacing w:line="360" w:lineRule="auto"/>
        <w:ind w:firstLine="560" w:firstLineChars="200"/>
        <w:rPr>
          <w:rFonts w:cs="Times New Roman"/>
          <w:snapToGrid w:val="0"/>
          <w:szCs w:val="28"/>
        </w:rPr>
      </w:pPr>
      <w:r>
        <w:rPr>
          <w:rFonts w:cs="Times New Roman"/>
          <w:snapToGrid w:val="0"/>
          <w:szCs w:val="28"/>
        </w:rPr>
        <w:t>（1）应急预案的制定</w:t>
      </w:r>
    </w:p>
    <w:p>
      <w:pPr>
        <w:autoSpaceDE w:val="0"/>
        <w:autoSpaceDN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奉化区</w:t>
      </w:r>
      <w:r>
        <w:rPr>
          <w:rFonts w:hint="eastAsia" w:cs="Times New Roman"/>
          <w:snapToGrid w:val="0"/>
          <w:kern w:val="0"/>
          <w:szCs w:val="28"/>
        </w:rPr>
        <w:t>设</w:t>
      </w:r>
      <w:r>
        <w:rPr>
          <w:rFonts w:cs="Times New Roman"/>
          <w:snapToGrid w:val="0"/>
          <w:kern w:val="0"/>
          <w:szCs w:val="28"/>
        </w:rPr>
        <w:t>立了奉化区</w:t>
      </w:r>
      <w:r>
        <w:rPr>
          <w:rFonts w:hint="eastAsia" w:cs="Times New Roman"/>
          <w:snapToGrid w:val="0"/>
          <w:kern w:val="0"/>
          <w:szCs w:val="28"/>
        </w:rPr>
        <w:t>危险化学品事故</w:t>
      </w:r>
      <w:r>
        <w:rPr>
          <w:rFonts w:cs="Times New Roman"/>
          <w:snapToGrid w:val="0"/>
          <w:kern w:val="0"/>
          <w:szCs w:val="28"/>
        </w:rPr>
        <w:t>应急指</w:t>
      </w:r>
      <w:r>
        <w:rPr>
          <w:rFonts w:hint="eastAsia" w:cs="Times New Roman"/>
          <w:snapToGrid w:val="0"/>
          <w:kern w:val="0"/>
          <w:szCs w:val="28"/>
        </w:rPr>
        <w:t>挥部</w:t>
      </w:r>
      <w:r>
        <w:rPr>
          <w:rFonts w:cs="Times New Roman"/>
          <w:snapToGrid w:val="0"/>
          <w:kern w:val="0"/>
          <w:szCs w:val="28"/>
        </w:rPr>
        <w:t>，制定了《</w:t>
      </w:r>
      <w:r>
        <w:rPr>
          <w:rFonts w:hint="eastAsia" w:cs="Times New Roman"/>
          <w:snapToGrid w:val="0"/>
          <w:kern w:val="0"/>
          <w:szCs w:val="28"/>
        </w:rPr>
        <w:t>宁波市奉化区危险化学品事故应急预案</w:t>
      </w:r>
      <w:r>
        <w:rPr>
          <w:rFonts w:cs="Times New Roman"/>
          <w:snapToGrid w:val="0"/>
          <w:kern w:val="0"/>
          <w:szCs w:val="28"/>
        </w:rPr>
        <w:t>》</w:t>
      </w:r>
      <w:r>
        <w:rPr>
          <w:rFonts w:hint="eastAsia" w:cs="Times New Roman"/>
          <w:snapToGrid w:val="0"/>
          <w:kern w:val="0"/>
          <w:szCs w:val="28"/>
        </w:rPr>
        <w:t>。</w:t>
      </w:r>
    </w:p>
    <w:p>
      <w:pPr>
        <w:spacing w:line="360" w:lineRule="auto"/>
        <w:ind w:firstLine="560" w:firstLineChars="200"/>
        <w:rPr>
          <w:rFonts w:cs="Times New Roman"/>
          <w:snapToGrid w:val="0"/>
          <w:szCs w:val="28"/>
        </w:rPr>
      </w:pPr>
      <w:r>
        <w:rPr>
          <w:rFonts w:cs="Times New Roman"/>
          <w:snapToGrid w:val="0"/>
          <w:szCs w:val="28"/>
        </w:rPr>
        <w:t>（2）消防救援大队</w:t>
      </w:r>
    </w:p>
    <w:p>
      <w:pPr>
        <w:autoSpaceDE w:val="0"/>
        <w:autoSpaceDN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目前，奉化区危险化学品应急救援</w:t>
      </w:r>
      <w:r>
        <w:rPr>
          <w:rFonts w:hint="eastAsia" w:cs="Times New Roman"/>
          <w:snapToGrid w:val="0"/>
          <w:kern w:val="0"/>
          <w:szCs w:val="28"/>
        </w:rPr>
        <w:t>主要</w:t>
      </w:r>
      <w:r>
        <w:rPr>
          <w:rFonts w:cs="Times New Roman"/>
          <w:snapToGrid w:val="0"/>
          <w:kern w:val="0"/>
          <w:szCs w:val="28"/>
        </w:rPr>
        <w:t>依托奉化区消防救援大队</w:t>
      </w:r>
      <w:r>
        <w:rPr>
          <w:rFonts w:hint="eastAsia" w:cs="Times New Roman"/>
          <w:snapToGrid w:val="0"/>
          <w:kern w:val="0"/>
          <w:szCs w:val="28"/>
        </w:rPr>
        <w:t>所辖的岳林消防救援站、溪口消防救援站、莼湖消防救援站。</w:t>
      </w:r>
    </w:p>
    <w:p>
      <w:pPr>
        <w:spacing w:line="360" w:lineRule="auto"/>
        <w:ind w:firstLine="560" w:firstLineChars="200"/>
        <w:rPr>
          <w:rFonts w:cs="Times New Roman"/>
          <w:snapToGrid w:val="0"/>
          <w:szCs w:val="28"/>
        </w:rPr>
      </w:pPr>
      <w:r>
        <w:rPr>
          <w:rFonts w:cs="Times New Roman"/>
          <w:snapToGrid w:val="0"/>
          <w:szCs w:val="28"/>
        </w:rPr>
        <w:t>（3）医疗救援</w:t>
      </w:r>
    </w:p>
    <w:p>
      <w:pPr>
        <w:autoSpaceDE w:val="0"/>
        <w:autoSpaceDN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紧急医疗救援由</w:t>
      </w:r>
      <w:r>
        <w:rPr>
          <w:rFonts w:hint="eastAsia" w:cs="Times New Roman"/>
          <w:snapToGrid w:val="0"/>
          <w:kern w:val="0"/>
          <w:szCs w:val="28"/>
        </w:rPr>
        <w:t>区内的</w:t>
      </w:r>
      <w:r>
        <w:rPr>
          <w:rFonts w:cs="Times New Roman"/>
          <w:snapToGrid w:val="0"/>
          <w:kern w:val="0"/>
          <w:szCs w:val="28"/>
        </w:rPr>
        <w:t>奉化区人民医院</w:t>
      </w:r>
      <w:r>
        <w:rPr>
          <w:rFonts w:hint="eastAsia" w:cs="Times New Roman"/>
          <w:snapToGrid w:val="0"/>
          <w:kern w:val="0"/>
          <w:szCs w:val="28"/>
        </w:rPr>
        <w:t>（奉化区急救站）和宁波市第一医院（方桥院区）</w:t>
      </w:r>
      <w:r>
        <w:rPr>
          <w:rFonts w:cs="Times New Roman"/>
          <w:snapToGrid w:val="0"/>
          <w:kern w:val="0"/>
          <w:szCs w:val="28"/>
        </w:rPr>
        <w:t>提供支持。特殊情况时，主要依托</w:t>
      </w:r>
      <w:r>
        <w:rPr>
          <w:rFonts w:hint="eastAsia" w:cs="Times New Roman"/>
          <w:snapToGrid w:val="0"/>
          <w:kern w:val="0"/>
          <w:szCs w:val="28"/>
        </w:rPr>
        <w:t>宁波市内</w:t>
      </w:r>
      <w:r>
        <w:rPr>
          <w:rFonts w:cs="Times New Roman"/>
          <w:snapToGrid w:val="0"/>
          <w:kern w:val="0"/>
          <w:szCs w:val="28"/>
        </w:rPr>
        <w:t>危险化学品事故伤害重症医院。</w:t>
      </w:r>
    </w:p>
    <w:p>
      <w:pPr>
        <w:pStyle w:val="3"/>
        <w:spacing w:after="156"/>
      </w:pPr>
      <w:bookmarkStart w:id="16" w:name="_Toc136353160"/>
      <w:r>
        <w:rPr>
          <w:rFonts w:hint="eastAsia"/>
        </w:rPr>
        <w:t>2</w:t>
      </w:r>
      <w:r>
        <w:t xml:space="preserve">.4 </w:t>
      </w:r>
      <w:r>
        <w:rPr>
          <w:rFonts w:hint="eastAsia"/>
        </w:rPr>
        <w:t>危险化学品经营安全发展存在的问题</w:t>
      </w:r>
      <w:bookmarkEnd w:id="16"/>
    </w:p>
    <w:p>
      <w:pPr>
        <w:overflowPunct w:val="0"/>
        <w:adjustRightInd w:val="0"/>
        <w:snapToGrid w:val="0"/>
        <w:spacing w:line="360" w:lineRule="auto"/>
        <w:ind w:firstLine="562" w:firstLineChars="200"/>
        <w:rPr>
          <w:rFonts w:cs="Times New Roman"/>
          <w:b/>
          <w:bCs/>
          <w:snapToGrid w:val="0"/>
          <w:kern w:val="0"/>
          <w:szCs w:val="28"/>
        </w:rPr>
      </w:pPr>
      <w:r>
        <w:rPr>
          <w:rFonts w:cs="Times New Roman"/>
          <w:b/>
          <w:bCs/>
          <w:snapToGrid w:val="0"/>
          <w:kern w:val="0"/>
          <w:szCs w:val="28"/>
        </w:rPr>
        <w:t>（1）</w:t>
      </w:r>
      <w:r>
        <w:rPr>
          <w:rFonts w:hint="eastAsia" w:cs="Times New Roman"/>
          <w:b/>
          <w:bCs/>
          <w:snapToGrid w:val="0"/>
          <w:kern w:val="0"/>
          <w:szCs w:val="28"/>
        </w:rPr>
        <w:t>油漆类危险化学品经营及储存问题突出。</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因城市建设，原有的一些油漆仓库被拆除，没有及时选址新建仓库，导致一些油漆经营企业自行租用不符合安全条件的场所存放危险化学品，其行为不仅违法，而且使危险化学品仓储隐蔽化，存在较大的安全事故隐患，增加监管难度。城区一些油漆经营店铺还存在“前店后宅、下店上宅”等问题，有较大的安全隐患。</w:t>
      </w:r>
    </w:p>
    <w:p>
      <w:pPr>
        <w:overflowPunct w:val="0"/>
        <w:adjustRightInd w:val="0"/>
        <w:snapToGrid w:val="0"/>
        <w:spacing w:line="360" w:lineRule="auto"/>
        <w:ind w:firstLine="562" w:firstLineChars="200"/>
        <w:rPr>
          <w:rFonts w:cs="Times New Roman"/>
          <w:b/>
          <w:bCs/>
          <w:snapToGrid w:val="0"/>
          <w:kern w:val="0"/>
          <w:szCs w:val="28"/>
        </w:rPr>
      </w:pPr>
      <w:r>
        <w:rPr>
          <w:rFonts w:cs="Times New Roman"/>
          <w:b/>
          <w:bCs/>
          <w:snapToGrid w:val="0"/>
          <w:kern w:val="0"/>
          <w:szCs w:val="28"/>
        </w:rPr>
        <w:t>（2）</w:t>
      </w:r>
      <w:r>
        <w:rPr>
          <w:rFonts w:hint="eastAsia" w:cs="Times New Roman"/>
          <w:b/>
          <w:bCs/>
          <w:kern w:val="0"/>
          <w:szCs w:val="28"/>
        </w:rPr>
        <w:t>危险化学品运输监管困难。</w:t>
      </w:r>
    </w:p>
    <w:p>
      <w:pPr>
        <w:overflowPunct w:val="0"/>
        <w:adjustRightInd w:val="0"/>
        <w:snapToGrid w:val="0"/>
        <w:spacing w:line="360" w:lineRule="auto"/>
        <w:ind w:firstLine="560" w:firstLineChars="200"/>
        <w:rPr>
          <w:rFonts w:cs="Times New Roman"/>
          <w:kern w:val="0"/>
          <w:szCs w:val="28"/>
        </w:rPr>
      </w:pPr>
      <w:r>
        <w:rPr>
          <w:rFonts w:cs="Times New Roman"/>
          <w:kern w:val="0"/>
          <w:szCs w:val="28"/>
        </w:rPr>
        <w:t>奉化区内</w:t>
      </w:r>
      <w:r>
        <w:rPr>
          <w:rFonts w:hint="eastAsia" w:cs="Times New Roman"/>
          <w:kern w:val="0"/>
          <w:szCs w:val="28"/>
        </w:rPr>
        <w:t>危险化学品通过</w:t>
      </w:r>
      <w:r>
        <w:rPr>
          <w:rFonts w:cs="Times New Roman"/>
          <w:kern w:val="0"/>
          <w:szCs w:val="28"/>
        </w:rPr>
        <w:t>道路运输</w:t>
      </w:r>
      <w:r>
        <w:rPr>
          <w:rFonts w:hint="eastAsia" w:cs="Times New Roman"/>
          <w:kern w:val="0"/>
          <w:szCs w:val="28"/>
        </w:rPr>
        <w:t>，原有两家本地危险化学品运输企业，现一家已解散，另一家已不再经营危险货物运输业务</w:t>
      </w:r>
      <w:r>
        <w:rPr>
          <w:rFonts w:cs="Times New Roman"/>
          <w:kern w:val="0"/>
          <w:szCs w:val="28"/>
        </w:rPr>
        <w:t>。</w:t>
      </w:r>
      <w:r>
        <w:rPr>
          <w:rFonts w:hint="eastAsia" w:cs="Times New Roman"/>
          <w:kern w:val="0"/>
          <w:szCs w:val="28"/>
        </w:rPr>
        <w:t>现在，奉化区内的危险化学品配送服务由宁波其它区县的专业运输公司提供，或由区内违规挂靠的危险化学品车辆提供，导致危险化学品运输监管困难。</w:t>
      </w:r>
    </w:p>
    <w:p>
      <w:pPr>
        <w:overflowPunct w:val="0"/>
        <w:adjustRightInd w:val="0"/>
        <w:snapToGrid w:val="0"/>
        <w:spacing w:line="360" w:lineRule="auto"/>
        <w:ind w:firstLine="562" w:firstLineChars="200"/>
        <w:rPr>
          <w:rFonts w:cs="Times New Roman"/>
          <w:b/>
          <w:bCs/>
          <w:kern w:val="0"/>
          <w:szCs w:val="28"/>
        </w:rPr>
      </w:pPr>
      <w:r>
        <w:rPr>
          <w:rFonts w:hint="eastAsia" w:cs="Times New Roman"/>
          <w:b/>
          <w:bCs/>
          <w:kern w:val="0"/>
          <w:szCs w:val="28"/>
        </w:rPr>
        <w:t>（3）危险化学品尚未实现全生命周期监管。</w:t>
      </w:r>
    </w:p>
    <w:p>
      <w:pPr>
        <w:overflowPunct w:val="0"/>
        <w:adjustRightInd w:val="0"/>
        <w:snapToGrid w:val="0"/>
        <w:spacing w:line="360" w:lineRule="auto"/>
        <w:ind w:firstLine="560" w:firstLineChars="200"/>
        <w:rPr>
          <w:rFonts w:cs="Times New Roman"/>
          <w:kern w:val="0"/>
          <w:szCs w:val="28"/>
        </w:rPr>
      </w:pPr>
      <w:r>
        <w:rPr>
          <w:rFonts w:hint="eastAsia" w:cs="Times New Roman"/>
          <w:kern w:val="0"/>
          <w:szCs w:val="28"/>
        </w:rPr>
        <w:t>目前，奉化没有申领危险化学品使用许可证的企业，通过“常普常新”方式掌握使用危险化学品从事生产的企业的情况。因此，从经营流通环节入手，集中仓储、统一配送，使区内危险化学品来源可溯、去向可查，进而消除监管盲区，为实现危险化学品全生命周期监管创造条件。</w:t>
      </w:r>
    </w:p>
    <w:p>
      <w:pPr>
        <w:overflowPunct w:val="0"/>
        <w:adjustRightInd w:val="0"/>
        <w:snapToGrid w:val="0"/>
        <w:spacing w:line="360" w:lineRule="auto"/>
        <w:ind w:firstLine="562" w:firstLineChars="200"/>
        <w:rPr>
          <w:rFonts w:cs="Times New Roman"/>
          <w:b/>
          <w:bCs/>
          <w:kern w:val="0"/>
          <w:szCs w:val="28"/>
        </w:rPr>
      </w:pPr>
      <w:r>
        <w:rPr>
          <w:rFonts w:cs="Times New Roman"/>
          <w:b/>
          <w:bCs/>
          <w:kern w:val="0"/>
          <w:szCs w:val="28"/>
        </w:rPr>
        <w:t>（4）</w:t>
      </w:r>
      <w:r>
        <w:rPr>
          <w:rFonts w:hint="eastAsia" w:cs="Times New Roman"/>
          <w:b/>
          <w:bCs/>
          <w:kern w:val="0"/>
          <w:szCs w:val="28"/>
        </w:rPr>
        <w:t>危险化学品经营安全发展要素保障力度不足</w:t>
      </w:r>
      <w:r>
        <w:rPr>
          <w:rFonts w:cs="Times New Roman"/>
          <w:b/>
          <w:bCs/>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某些企业租用农村土地进行带储存经营，缺少合法的土地使用手续。</w:t>
      </w:r>
      <w:r>
        <w:rPr>
          <w:rFonts w:hint="eastAsia" w:cs="Times New Roman"/>
          <w:kern w:val="0"/>
          <w:szCs w:val="28"/>
        </w:rPr>
        <w:t>区域总体新增建设用地指标有限，对危险化学品仓储用地这类用地少、经济效益不显著、但作用关键的准公益性项目照顾不够。各街道和镇对危险化学品项目顾虑较多，不愿意引入危险化学品储存经营场所，而且有去存量化的倾向。另外，危险化学品经营全链条智控需要一定的财政资金投入，应急管理专项资金对危险化学品安全监管的支持不足。</w:t>
      </w:r>
    </w:p>
    <w:p>
      <w:pPr>
        <w:overflowPunct w:val="0"/>
        <w:adjustRightInd w:val="0"/>
        <w:snapToGrid w:val="0"/>
        <w:spacing w:line="360" w:lineRule="auto"/>
        <w:ind w:firstLine="560" w:firstLineChars="200"/>
        <w:rPr>
          <w:rFonts w:cs="Times New Roman"/>
          <w:kern w:val="0"/>
          <w:szCs w:val="28"/>
        </w:rPr>
        <w:sectPr>
          <w:pgSz w:w="11906" w:h="16838"/>
          <w:pgMar w:top="1440" w:right="1800" w:bottom="1440" w:left="1800" w:header="851" w:footer="992" w:gutter="0"/>
          <w:cols w:space="425" w:num="1"/>
          <w:docGrid w:type="lines" w:linePitch="312" w:charSpace="0"/>
        </w:sectPr>
      </w:pPr>
    </w:p>
    <w:p>
      <w:pPr>
        <w:pStyle w:val="2"/>
        <w:spacing w:before="156" w:after="156"/>
      </w:pPr>
      <w:bookmarkStart w:id="17" w:name="_Toc136353161"/>
      <w:r>
        <w:t xml:space="preserve">3 </w:t>
      </w:r>
      <w:r>
        <w:rPr>
          <w:rFonts w:hint="eastAsia"/>
        </w:rPr>
        <w:t>危险化学品需求分析</w:t>
      </w:r>
      <w:bookmarkEnd w:id="17"/>
    </w:p>
    <w:p>
      <w:pPr>
        <w:pStyle w:val="3"/>
        <w:spacing w:after="156"/>
      </w:pPr>
      <w:bookmarkStart w:id="18" w:name="_Toc136353162"/>
      <w:r>
        <w:t>3</w:t>
      </w:r>
      <w:r>
        <w:rPr>
          <w:rFonts w:hint="eastAsia"/>
        </w:rPr>
        <w:t>.</w:t>
      </w:r>
      <w:r>
        <w:t xml:space="preserve">1 </w:t>
      </w:r>
      <w:r>
        <w:rPr>
          <w:rFonts w:hint="eastAsia"/>
        </w:rPr>
        <w:t>市场需求分析</w:t>
      </w:r>
      <w:bookmarkEnd w:id="18"/>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（1）工业需求</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奉化区</w:t>
      </w:r>
      <w:r>
        <w:rPr>
          <w:rFonts w:hint="eastAsia" w:cs="Times New Roman"/>
          <w:snapToGrid w:val="0"/>
          <w:kern w:val="0"/>
          <w:szCs w:val="28"/>
        </w:rPr>
        <w:t>有涉及使用危险化学品的工贸企业3</w:t>
      </w:r>
      <w:r>
        <w:rPr>
          <w:rFonts w:cs="Times New Roman"/>
          <w:snapToGrid w:val="0"/>
          <w:kern w:val="0"/>
          <w:szCs w:val="28"/>
        </w:rPr>
        <w:t>71</w:t>
      </w:r>
      <w:r>
        <w:rPr>
          <w:rFonts w:hint="eastAsia" w:cs="Times New Roman"/>
          <w:snapToGrid w:val="0"/>
          <w:kern w:val="0"/>
          <w:szCs w:val="28"/>
        </w:rPr>
        <w:t>家（区域分布见图4.</w:t>
      </w:r>
      <w:r>
        <w:rPr>
          <w:rFonts w:cs="Times New Roman"/>
          <w:snapToGrid w:val="0"/>
          <w:kern w:val="0"/>
          <w:szCs w:val="28"/>
        </w:rPr>
        <w:t>1</w:t>
      </w:r>
      <w:r>
        <w:rPr>
          <w:rFonts w:hint="eastAsia" w:cs="Times New Roman"/>
          <w:snapToGrid w:val="0"/>
          <w:kern w:val="0"/>
          <w:szCs w:val="28"/>
        </w:rPr>
        <w:t>），主要使用品类为</w:t>
      </w:r>
      <w:r>
        <w:rPr>
          <w:rFonts w:cs="Times New Roman"/>
          <w:snapToGrid w:val="0"/>
          <w:kern w:val="0"/>
          <w:szCs w:val="28"/>
        </w:rPr>
        <w:t>油漆涂料</w:t>
      </w:r>
      <w:r>
        <w:rPr>
          <w:rFonts w:hint="eastAsia" w:cs="Times New Roman"/>
          <w:snapToGrid w:val="0"/>
          <w:kern w:val="0"/>
          <w:szCs w:val="28"/>
        </w:rPr>
        <w:t>、酸碱类、工业气体</w:t>
      </w:r>
      <w:r>
        <w:rPr>
          <w:rFonts w:cs="Times New Roman"/>
          <w:snapToGrid w:val="0"/>
          <w:kern w:val="0"/>
          <w:szCs w:val="28"/>
        </w:rPr>
        <w:t>等</w:t>
      </w:r>
      <w:r>
        <w:rPr>
          <w:rFonts w:hint="eastAsia" w:cs="Times New Roman"/>
          <w:snapToGrid w:val="0"/>
          <w:kern w:val="0"/>
          <w:szCs w:val="28"/>
        </w:rPr>
        <w:t>。危险化学品生产企业3家、化工医药类企业1</w:t>
      </w:r>
      <w:r>
        <w:rPr>
          <w:rFonts w:cs="Times New Roman"/>
          <w:snapToGrid w:val="0"/>
          <w:kern w:val="0"/>
          <w:szCs w:val="28"/>
        </w:rPr>
        <w:t>8</w:t>
      </w:r>
      <w:r>
        <w:rPr>
          <w:rFonts w:hint="eastAsia" w:cs="Times New Roman"/>
          <w:snapToGrid w:val="0"/>
          <w:kern w:val="0"/>
          <w:szCs w:val="28"/>
        </w:rPr>
        <w:t>家。</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根据《奉化区制造业高质量发展“十四五”规划》，将培育汽车零部件、生命（医疗）健康、关键基础件（气动）、电子信息、新材料、新能源（节能环保）、智能家电、时尚服装等8个产业成为百亿级产业集群，预计奉化区工业企业对危险化学品的需求将持续增长。</w:t>
      </w:r>
    </w:p>
    <w:p>
      <w:pPr>
        <w:overflowPunct w:val="0"/>
        <w:adjustRightInd w:val="0"/>
        <w:snapToGrid w:val="0"/>
        <w:spacing w:line="360" w:lineRule="auto"/>
        <w:ind w:firstLine="560" w:firstLineChars="200"/>
        <w:rPr>
          <w:rFonts w:cs="Times New Roman"/>
          <w:snapToGrid w:val="0"/>
          <w:kern w:val="0"/>
          <w:szCs w:val="28"/>
        </w:rPr>
      </w:pPr>
      <w: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overflowPunct w:val="0"/>
        <w:adjustRightInd w:val="0"/>
        <w:snapToGrid w:val="0"/>
        <w:spacing w:line="360" w:lineRule="auto"/>
        <w:ind w:firstLine="480" w:firstLineChars="200"/>
        <w:jc w:val="center"/>
        <w:rPr>
          <w:rFonts w:cs="Times New Roman"/>
          <w:snapToGrid w:val="0"/>
          <w:kern w:val="0"/>
          <w:sz w:val="24"/>
          <w:szCs w:val="24"/>
        </w:rPr>
      </w:pPr>
      <w:r>
        <w:rPr>
          <w:rFonts w:hint="eastAsia" w:cs="Times New Roman"/>
          <w:snapToGrid w:val="0"/>
          <w:kern w:val="0"/>
          <w:sz w:val="24"/>
          <w:szCs w:val="24"/>
        </w:rPr>
        <w:t>图</w:t>
      </w:r>
      <w:r>
        <w:rPr>
          <w:rFonts w:cs="Times New Roman"/>
          <w:snapToGrid w:val="0"/>
          <w:kern w:val="0"/>
          <w:sz w:val="24"/>
          <w:szCs w:val="24"/>
        </w:rPr>
        <w:t>3</w:t>
      </w:r>
      <w:r>
        <w:rPr>
          <w:rFonts w:hint="eastAsia" w:cs="Times New Roman"/>
          <w:snapToGrid w:val="0"/>
          <w:kern w:val="0"/>
          <w:sz w:val="24"/>
          <w:szCs w:val="24"/>
        </w:rPr>
        <w:t>.</w:t>
      </w:r>
      <w:r>
        <w:rPr>
          <w:rFonts w:cs="Times New Roman"/>
          <w:snapToGrid w:val="0"/>
          <w:kern w:val="0"/>
          <w:sz w:val="24"/>
          <w:szCs w:val="24"/>
        </w:rPr>
        <w:t xml:space="preserve">1 </w:t>
      </w:r>
      <w:r>
        <w:rPr>
          <w:rFonts w:hint="eastAsia" w:cs="Times New Roman"/>
          <w:snapToGrid w:val="0"/>
          <w:kern w:val="0"/>
          <w:sz w:val="24"/>
          <w:szCs w:val="24"/>
        </w:rPr>
        <w:t>奉化区工贸行业危险化学品使用企业区域分布图</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（2）城市建设需求</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根据《奉化区城市建设“十四五”规划》，“十四五”时期，是奉化深入融入宁波主城区，建设现代化新城区的关键时期。城市基础设施、风貌特色化打造、住宅小区建设、老旧小区改造等将持续推进，城市建设对危险化学品，特别是油漆涂料有大量的需求。预计奉化区城市建设对危险化学品的需求将保持相对稳定。</w:t>
      </w:r>
    </w:p>
    <w:p>
      <w:pPr>
        <w:overflowPunct w:val="0"/>
        <w:adjustRightInd w:val="0"/>
        <w:snapToGrid w:val="0"/>
        <w:spacing w:line="360" w:lineRule="auto"/>
        <w:ind w:firstLine="560" w:firstLineChars="200"/>
      </w:pPr>
      <w:r>
        <w:rPr>
          <w:rFonts w:hint="eastAsia" w:cs="Times New Roman"/>
          <w:snapToGrid w:val="0"/>
          <w:kern w:val="0"/>
          <w:szCs w:val="28"/>
        </w:rPr>
        <w:t>（3）</w:t>
      </w:r>
      <w:r>
        <w:rPr>
          <w:rFonts w:hint="eastAsia"/>
        </w:rPr>
        <w:t>高校、医院和科研机构的需求</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奉化区现有浙江药科职业技术大学，规划建设宁波大学医学部方桥校区；奉化区现有宁波市第一医院（方桥院区）、奉化区人民医院等综合性医院，医药类高校、综合性医院对危险化学品有持续的需求。另外，奉化还有锋成纳米、瑞凌新能源等一批新型科研机构，这些新材料、新能源研究机构对危险化学品也有一定的需求。</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总体而言，预计未来五年，奉化区相关单位对危险化学品的需求将呈逐渐上升的趋势。</w:t>
      </w:r>
    </w:p>
    <w:p>
      <w:pPr>
        <w:pStyle w:val="3"/>
        <w:spacing w:after="156"/>
      </w:pPr>
      <w:bookmarkStart w:id="19" w:name="_Toc136353163"/>
      <w:r>
        <w:t xml:space="preserve">3.2 </w:t>
      </w:r>
      <w:r>
        <w:rPr>
          <w:rFonts w:hint="eastAsia"/>
        </w:rPr>
        <w:t>储存需求分析</w:t>
      </w:r>
      <w:bookmarkEnd w:id="19"/>
    </w:p>
    <w:p>
      <w:pPr>
        <w:ind w:firstLine="570"/>
      </w:pPr>
      <w:r>
        <w:rPr>
          <w:rFonts w:hint="eastAsia"/>
        </w:rPr>
        <w:t>（1）经营企业从区外批量进货，在区内分散销售，需要有仓储场所来中转和缓冲；使用企业中间仓库不能超量储存。</w:t>
      </w:r>
    </w:p>
    <w:p>
      <w:pPr>
        <w:ind w:firstLine="570"/>
      </w:pPr>
      <w:r>
        <w:rPr>
          <w:rFonts w:hint="eastAsia"/>
        </w:rPr>
        <w:t>（2）某些带储存经营企业现状用地的性质为农用地，不符合国土空间规划要求，需迁入符合要求的场所。综合考虑需搬迁的企业占地面积（约6亩）、场地规范设计后占地面积增加和储存品种扩充等因素，规划新增带储存经营点需用地约1</w:t>
      </w:r>
      <w:r>
        <w:t>0</w:t>
      </w:r>
      <w:r>
        <w:rPr>
          <w:rFonts w:hint="eastAsia"/>
        </w:rPr>
        <w:t>亩。</w:t>
      </w:r>
    </w:p>
    <w:p>
      <w:pPr>
        <w:ind w:firstLine="570"/>
      </w:pPr>
      <w:r>
        <w:rPr>
          <w:rFonts w:hint="eastAsia"/>
        </w:rPr>
        <w:t>（3）一些店面零售企业，特别是工业油漆及其稀释剂销售企业因缺少储存场所，常出现店内超量储存、店外违规隐蔽储存等问题，不符合安全储存条件的危险化学品需要进入合规的储存场所。随着奉化城市建设，主城区内原有的危险化学品仓库被拆除，目前区内缺少合规的集中储存仓库。综合考虑已拆除的两家仓库面积（鸿运油漆仓库5</w:t>
      </w:r>
      <w:r>
        <w:t>50</w:t>
      </w:r>
      <w:r>
        <w:rPr>
          <w:rFonts w:hint="eastAsia"/>
        </w:rPr>
        <w:t>平方米，甬新涂料仓库约</w:t>
      </w:r>
      <w:r>
        <w:t>1000</w:t>
      </w:r>
      <w:r>
        <w:rPr>
          <w:rFonts w:hint="eastAsia"/>
        </w:rPr>
        <w:t>平方米），确定油漆及其稀释剂仓储需求约1</w:t>
      </w:r>
      <w:r>
        <w:t>500</w:t>
      </w:r>
      <w:r>
        <w:rPr>
          <w:rFonts w:hint="eastAsia"/>
        </w:rPr>
        <w:t>平方米。</w:t>
      </w:r>
    </w:p>
    <w:p>
      <w:pPr>
        <w:ind w:firstLine="570"/>
      </w:pPr>
      <w:r>
        <w:rPr>
          <w:rFonts w:hint="eastAsia"/>
        </w:rPr>
        <w:t>（4）一些票据贸易企业，随着经营发展扩大，有转型为带储存经营的设想，需要有储存场所。据相关企业反映，仓储需求约1</w:t>
      </w:r>
      <w:r>
        <w:t>300</w:t>
      </w:r>
      <w:r>
        <w:rPr>
          <w:rFonts w:hint="eastAsia"/>
        </w:rPr>
        <w:t>平方米。</w:t>
      </w:r>
    </w:p>
    <w:p>
      <w:pPr>
        <w:ind w:firstLine="570"/>
      </w:pPr>
      <w:r>
        <w:rPr>
          <w:rFonts w:hint="eastAsia"/>
        </w:rPr>
        <w:t>（5）某些生产企业和使用企业内部仓库空间有限、储存量也有严格限制，生产企业涉及危险化学品的原料和产品、使用企业涉及危险化学品的原料有在外部仓库储存的需求，据相关企业反映，仓储需求约5</w:t>
      </w:r>
      <w:r>
        <w:t>00</w:t>
      </w:r>
      <w:r>
        <w:rPr>
          <w:rFonts w:hint="eastAsia"/>
        </w:rPr>
        <w:t>平方米。</w:t>
      </w:r>
    </w:p>
    <w:p>
      <w:pPr>
        <w:ind w:firstLine="570"/>
      </w:pPr>
      <w:r>
        <w:rPr>
          <w:rFonts w:hint="eastAsia"/>
        </w:rPr>
        <w:t>（</w:t>
      </w:r>
      <w:r>
        <w:t>6</w:t>
      </w:r>
      <w:r>
        <w:rPr>
          <w:rFonts w:hint="eastAsia"/>
        </w:rPr>
        <w:t>）政府监管部门执法查处及罚没的危险化学品暂扣和处置，需要有符合条件的储存场所。参考其他区县的已有仓库面积，并结合本地实际，确定本项需求约</w:t>
      </w:r>
      <w:r>
        <w:t>300</w:t>
      </w:r>
      <w:r>
        <w:rPr>
          <w:rFonts w:hint="eastAsia"/>
        </w:rPr>
        <w:t>平方米。</w:t>
      </w:r>
    </w:p>
    <w:p>
      <w:pPr>
        <w:ind w:firstLine="570"/>
        <w:sectPr>
          <w:pgSz w:w="11906" w:h="16838"/>
          <w:pgMar w:top="1440" w:right="1800" w:bottom="1440" w:left="1800" w:header="851" w:footer="992" w:gutter="0"/>
          <w:cols w:space="425" w:num="1"/>
          <w:docGrid w:type="lines" w:linePitch="312" w:charSpace="0"/>
        </w:sectPr>
      </w:pPr>
      <w:r>
        <w:rPr>
          <w:rFonts w:hint="eastAsia"/>
        </w:rPr>
        <w:t>综上所述，规划新增带储存经营点需用地约1</w:t>
      </w:r>
      <w:r>
        <w:t>0</w:t>
      </w:r>
      <w:r>
        <w:rPr>
          <w:rFonts w:hint="eastAsia"/>
        </w:rPr>
        <w:t>亩；规划新增集中仓库仓储面积约3</w:t>
      </w:r>
      <w:r>
        <w:t>600</w:t>
      </w:r>
      <w:r>
        <w:rPr>
          <w:rFonts w:hint="eastAsia"/>
        </w:rPr>
        <w:t>平方米，设备用房、管理用房等暂按</w:t>
      </w:r>
      <w:r>
        <w:t>400</w:t>
      </w:r>
      <w:r>
        <w:rPr>
          <w:rFonts w:hint="eastAsia"/>
        </w:rPr>
        <w:t>平方米考虑，合计建筑面积</w:t>
      </w:r>
      <w:r>
        <w:t>4000</w:t>
      </w:r>
      <w:r>
        <w:rPr>
          <w:rFonts w:hint="eastAsia"/>
        </w:rPr>
        <w:t>平方米，按常规的危险化学品仓库测算，集中仓库需用地约1</w:t>
      </w:r>
      <w:r>
        <w:t>5</w:t>
      </w:r>
      <w:r>
        <w:rPr>
          <w:rFonts w:hint="eastAsia"/>
        </w:rPr>
        <w:t>亩。</w:t>
      </w:r>
    </w:p>
    <w:p>
      <w:pPr>
        <w:pStyle w:val="2"/>
        <w:spacing w:before="156" w:after="156"/>
      </w:pPr>
      <w:bookmarkStart w:id="20" w:name="_Toc136353164"/>
      <w:r>
        <w:t xml:space="preserve">4 </w:t>
      </w:r>
      <w:r>
        <w:rPr>
          <w:rFonts w:hint="eastAsia"/>
        </w:rPr>
        <w:t>指导思想和规划目标</w:t>
      </w:r>
      <w:bookmarkEnd w:id="20"/>
    </w:p>
    <w:p>
      <w:pPr>
        <w:pStyle w:val="3"/>
        <w:spacing w:after="156"/>
      </w:pPr>
      <w:bookmarkStart w:id="21" w:name="_Toc136353165"/>
      <w:r>
        <w:t xml:space="preserve">4.1 </w:t>
      </w:r>
      <w:r>
        <w:rPr>
          <w:rFonts w:hint="eastAsia"/>
        </w:rPr>
        <w:t>指导思想</w:t>
      </w:r>
      <w:bookmarkEnd w:id="21"/>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以习近平新时代中国特色社会主义思想为指导，</w:t>
      </w:r>
      <w:r>
        <w:rPr>
          <w:rFonts w:hint="eastAsia" w:cs="Times New Roman"/>
          <w:snapToGrid w:val="0"/>
          <w:kern w:val="0"/>
          <w:szCs w:val="28"/>
        </w:rPr>
        <w:t>深入学习贯彻党的二十大精神和习近平总书记关于安全生产的重要论述</w:t>
      </w:r>
      <w:r>
        <w:rPr>
          <w:rFonts w:cs="Times New Roman"/>
          <w:snapToGrid w:val="0"/>
          <w:kern w:val="0"/>
          <w:szCs w:val="28"/>
        </w:rPr>
        <w:t>，</w:t>
      </w:r>
      <w:r>
        <w:rPr>
          <w:rFonts w:hint="eastAsia" w:cs="Times New Roman"/>
          <w:snapToGrid w:val="0"/>
          <w:kern w:val="0"/>
          <w:szCs w:val="28"/>
        </w:rPr>
        <w:t>统筹发展和安全，</w:t>
      </w:r>
      <w:r>
        <w:rPr>
          <w:rFonts w:cs="Times New Roman"/>
          <w:snapToGrid w:val="0"/>
          <w:kern w:val="0"/>
          <w:szCs w:val="28"/>
        </w:rPr>
        <w:t>牢固树立安全发展理念，</w:t>
      </w:r>
      <w:r>
        <w:rPr>
          <w:rFonts w:hint="eastAsia" w:cs="Times New Roman"/>
          <w:snapToGrid w:val="0"/>
          <w:kern w:val="0"/>
          <w:szCs w:val="28"/>
        </w:rPr>
        <w:t>坚持安全第一、预防为主、综合治理的方针，从源头上防范化解重大安全风险；</w:t>
      </w:r>
      <w:r>
        <w:rPr>
          <w:rFonts w:cs="Times New Roman"/>
          <w:snapToGrid w:val="0"/>
          <w:kern w:val="0"/>
          <w:szCs w:val="28"/>
        </w:rPr>
        <w:t>深化源头治理、综合治理和精准治理，综合运用规划、工程、经济、科技等手段，着力解决基础性、源头性、瓶颈性问题，改善</w:t>
      </w:r>
      <w:r>
        <w:rPr>
          <w:rFonts w:hint="eastAsia" w:cs="Times New Roman"/>
          <w:snapToGrid w:val="0"/>
          <w:kern w:val="0"/>
          <w:szCs w:val="28"/>
        </w:rPr>
        <w:t>危险化学品经营</w:t>
      </w:r>
      <w:r>
        <w:rPr>
          <w:rFonts w:cs="Times New Roman"/>
          <w:snapToGrid w:val="0"/>
          <w:kern w:val="0"/>
          <w:szCs w:val="28"/>
        </w:rPr>
        <w:t>安全现状，</w:t>
      </w:r>
      <w:r>
        <w:rPr>
          <w:rFonts w:hint="eastAsia" w:cs="Times New Roman"/>
          <w:snapToGrid w:val="0"/>
          <w:kern w:val="0"/>
          <w:szCs w:val="28"/>
        </w:rPr>
        <w:t>促进危险化学品</w:t>
      </w:r>
      <w:r>
        <w:rPr>
          <w:rFonts w:cs="Times New Roman"/>
          <w:snapToGrid w:val="0"/>
          <w:kern w:val="0"/>
          <w:szCs w:val="28"/>
        </w:rPr>
        <w:t>行业规范发展，全面提升安全发展水平；坚持问题导向、目标导向和结果导向，</w:t>
      </w:r>
      <w:r>
        <w:rPr>
          <w:rFonts w:hint="eastAsia" w:cs="Times New Roman"/>
          <w:snapToGrid w:val="0"/>
          <w:kern w:val="0"/>
          <w:szCs w:val="28"/>
        </w:rPr>
        <w:t>聚集难点堵点、短板弱项，</w:t>
      </w:r>
      <w:r>
        <w:rPr>
          <w:rFonts w:cs="Times New Roman"/>
          <w:snapToGrid w:val="0"/>
          <w:kern w:val="0"/>
          <w:szCs w:val="28"/>
        </w:rPr>
        <w:t>着重落实“从根本上消除事故隐患”的责任链条、管理办法、重点工程和工作机制，有效防范</w:t>
      </w:r>
      <w:r>
        <w:rPr>
          <w:rFonts w:hint="eastAsia" w:cs="Times New Roman"/>
          <w:snapToGrid w:val="0"/>
          <w:kern w:val="0"/>
          <w:szCs w:val="28"/>
        </w:rPr>
        <w:t>较大以上事故、</w:t>
      </w:r>
      <w:r>
        <w:rPr>
          <w:rFonts w:cs="Times New Roman"/>
          <w:snapToGrid w:val="0"/>
          <w:kern w:val="0"/>
          <w:szCs w:val="28"/>
        </w:rPr>
        <w:t>坚决遏制</w:t>
      </w:r>
      <w:r>
        <w:rPr>
          <w:rFonts w:hint="eastAsia" w:cs="Times New Roman"/>
          <w:snapToGrid w:val="0"/>
          <w:kern w:val="0"/>
          <w:szCs w:val="28"/>
        </w:rPr>
        <w:t>重大特大</w:t>
      </w:r>
      <w:r>
        <w:rPr>
          <w:rFonts w:cs="Times New Roman"/>
          <w:snapToGrid w:val="0"/>
          <w:kern w:val="0"/>
          <w:szCs w:val="28"/>
        </w:rPr>
        <w:t>事故，</w:t>
      </w:r>
      <w:r>
        <w:rPr>
          <w:rFonts w:hint="eastAsia" w:cs="Times New Roman"/>
          <w:snapToGrid w:val="0"/>
          <w:kern w:val="0"/>
          <w:szCs w:val="28"/>
        </w:rPr>
        <w:t>为</w:t>
      </w:r>
      <w:r>
        <w:rPr>
          <w:rFonts w:cs="Times New Roman"/>
          <w:snapToGrid w:val="0"/>
          <w:kern w:val="0"/>
          <w:szCs w:val="28"/>
        </w:rPr>
        <w:t>奉化区经济和社会发展</w:t>
      </w:r>
      <w:r>
        <w:rPr>
          <w:rFonts w:hint="eastAsia" w:cs="Times New Roman"/>
          <w:snapToGrid w:val="0"/>
          <w:kern w:val="0"/>
          <w:szCs w:val="28"/>
        </w:rPr>
        <w:t>营造安全稳定环境</w:t>
      </w:r>
      <w:r>
        <w:rPr>
          <w:rFonts w:cs="Times New Roman"/>
          <w:snapToGrid w:val="0"/>
          <w:kern w:val="0"/>
          <w:szCs w:val="28"/>
        </w:rPr>
        <w:t>。</w:t>
      </w:r>
    </w:p>
    <w:p>
      <w:pPr>
        <w:pStyle w:val="3"/>
        <w:spacing w:after="156"/>
      </w:pPr>
      <w:bookmarkStart w:id="22" w:name="_Toc136353166"/>
      <w:r>
        <w:t xml:space="preserve">4.2 </w:t>
      </w:r>
      <w:r>
        <w:rPr>
          <w:rFonts w:hint="eastAsia"/>
        </w:rPr>
        <w:t>规划目标</w:t>
      </w:r>
      <w:bookmarkEnd w:id="22"/>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1</w:t>
      </w:r>
      <w:r>
        <w:rPr>
          <w:rFonts w:hint="eastAsia" w:cs="Times New Roman"/>
          <w:snapToGrid w:val="0"/>
          <w:kern w:val="0"/>
          <w:szCs w:val="28"/>
        </w:rPr>
        <w:t>）优化危险化学品经营布局。</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科学规划、合理布点危险化学品带储存经营企业，配套建设满足市场需求的危险化学品集中仓储设施</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（2）提升危险化学品安全监管效能。</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通过集中仓储、统一配送和利用数字化等创新手段，</w:t>
      </w:r>
      <w:r>
        <w:rPr>
          <w:rFonts w:cs="Times New Roman"/>
          <w:snapToGrid w:val="0"/>
          <w:kern w:val="0"/>
          <w:szCs w:val="28"/>
        </w:rPr>
        <w:t>提高现有</w:t>
      </w:r>
      <w:r>
        <w:rPr>
          <w:rFonts w:hint="eastAsia" w:cs="Times New Roman"/>
          <w:snapToGrid w:val="0"/>
          <w:kern w:val="0"/>
          <w:szCs w:val="28"/>
        </w:rPr>
        <w:t>危险化学品经营</w:t>
      </w:r>
      <w:r>
        <w:rPr>
          <w:rFonts w:cs="Times New Roman"/>
          <w:snapToGrid w:val="0"/>
          <w:kern w:val="0"/>
          <w:szCs w:val="28"/>
        </w:rPr>
        <w:t>安全管理和风险控制水平</w:t>
      </w:r>
      <w:r>
        <w:rPr>
          <w:rFonts w:hint="eastAsia" w:cs="Times New Roman"/>
          <w:snapToGrid w:val="0"/>
          <w:kern w:val="0"/>
          <w:szCs w:val="28"/>
        </w:rPr>
        <w:t>，实现危险化学品全生命周期监管。</w:t>
      </w:r>
    </w:p>
    <w:p>
      <w:pPr>
        <w:overflowPunct w:val="0"/>
        <w:adjustRightInd w:val="0"/>
        <w:snapToGrid w:val="0"/>
        <w:spacing w:line="360" w:lineRule="auto"/>
        <w:ind w:firstLine="560" w:firstLineChars="200"/>
        <w:rPr>
          <w:rFonts w:cs="Times New Roman"/>
          <w:bCs/>
          <w:snapToGrid w:val="0"/>
          <w:kern w:val="0"/>
          <w:szCs w:val="28"/>
        </w:rPr>
      </w:pPr>
      <w:r>
        <w:rPr>
          <w:rFonts w:cs="Times New Roman"/>
          <w:bCs/>
          <w:snapToGrid w:val="0"/>
          <w:kern w:val="0"/>
          <w:szCs w:val="28"/>
        </w:rPr>
        <w:t>（3）安全生产目标</w:t>
      </w:r>
    </w:p>
    <w:p>
      <w:pPr>
        <w:overflowPunct w:val="0"/>
        <w:adjustRightInd w:val="0"/>
        <w:snapToGrid w:val="0"/>
        <w:spacing w:line="360" w:lineRule="auto"/>
        <w:ind w:firstLine="560" w:firstLineChars="200"/>
        <w:rPr>
          <w:rFonts w:cs="Times New Roman"/>
          <w:snapToGrid w:val="0"/>
          <w:kern w:val="0"/>
          <w:szCs w:val="28"/>
        </w:rPr>
        <w:sectPr>
          <w:pgSz w:w="11906" w:h="16838"/>
          <w:pgMar w:top="1440" w:right="1800" w:bottom="1440" w:left="1800" w:header="851" w:footer="992" w:gutter="0"/>
          <w:cols w:space="425" w:num="1"/>
          <w:docGrid w:type="lines" w:linePitch="312" w:charSpace="0"/>
        </w:sectPr>
      </w:pPr>
      <w:r>
        <w:rPr>
          <w:rFonts w:hint="eastAsia" w:cs="Times New Roman"/>
          <w:snapToGrid w:val="0"/>
          <w:kern w:val="0"/>
          <w:szCs w:val="28"/>
        </w:rPr>
        <w:t>坚决防范危险化学品事故，</w:t>
      </w:r>
      <w:r>
        <w:rPr>
          <w:rFonts w:cs="Times New Roman"/>
          <w:snapToGrid w:val="0"/>
          <w:kern w:val="0"/>
          <w:szCs w:val="28"/>
        </w:rPr>
        <w:t>杜绝发生较大及以上火灾、爆炸、中毒和环境污染事故。</w:t>
      </w:r>
    </w:p>
    <w:p>
      <w:pPr>
        <w:pStyle w:val="2"/>
        <w:spacing w:before="156" w:after="156"/>
      </w:pPr>
      <w:bookmarkStart w:id="23" w:name="_Toc136353167"/>
      <w:r>
        <w:rPr>
          <w:rFonts w:hint="eastAsia"/>
        </w:rPr>
        <w:t>5</w:t>
      </w:r>
      <w:r>
        <w:t xml:space="preserve"> </w:t>
      </w:r>
      <w:r>
        <w:rPr>
          <w:rFonts w:hint="eastAsia"/>
        </w:rPr>
        <w:t>危险化学品经营布局规划</w:t>
      </w:r>
      <w:bookmarkEnd w:id="23"/>
    </w:p>
    <w:p>
      <w:pPr>
        <w:pStyle w:val="3"/>
        <w:spacing w:after="156"/>
      </w:pPr>
      <w:bookmarkStart w:id="24" w:name="_Toc136353168"/>
      <w:r>
        <w:t xml:space="preserve">5.1 </w:t>
      </w:r>
      <w:r>
        <w:rPr>
          <w:rFonts w:hint="eastAsia"/>
        </w:rPr>
        <w:t>经营定位</w:t>
      </w:r>
      <w:bookmarkEnd w:id="24"/>
    </w:p>
    <w:p>
      <w:r>
        <w:rPr>
          <w:rFonts w:hint="eastAsia"/>
        </w:rPr>
        <w:t xml:space="preserve"> </w:t>
      </w:r>
      <w:r>
        <w:t xml:space="preserve">  </w:t>
      </w:r>
      <w:r>
        <w:rPr>
          <w:rFonts w:hint="eastAsia"/>
        </w:rPr>
        <w:t xml:space="preserve"> </w:t>
      </w:r>
      <w:r>
        <w:rPr>
          <w:rFonts w:cs="Times New Roman"/>
          <w:kern w:val="0"/>
          <w:szCs w:val="28"/>
        </w:rPr>
        <w:t>根据《浙江省经济和信息化厅浙江省应急管理厅关于公布全省县域危险化学品产业发展定位的通知》（浙经信材料</w:t>
      </w:r>
      <w:r>
        <w:rPr>
          <w:rFonts w:hint="eastAsia" w:cs="Times New Roman"/>
          <w:kern w:val="0"/>
          <w:szCs w:val="28"/>
        </w:rPr>
        <w:t>〔</w:t>
      </w:r>
      <w:r>
        <w:rPr>
          <w:rFonts w:cs="Times New Roman"/>
          <w:kern w:val="0"/>
          <w:szCs w:val="28"/>
        </w:rPr>
        <w:t>2019</w:t>
      </w:r>
      <w:r>
        <w:rPr>
          <w:rFonts w:hint="eastAsia" w:cs="Times New Roman"/>
          <w:kern w:val="0"/>
          <w:szCs w:val="28"/>
        </w:rPr>
        <w:t>〕</w:t>
      </w:r>
      <w:r>
        <w:rPr>
          <w:rFonts w:cs="Times New Roman"/>
          <w:kern w:val="0"/>
          <w:szCs w:val="28"/>
        </w:rPr>
        <w:t>175号），奉化区危险化学品产业发展定位为</w:t>
      </w:r>
      <w:r>
        <w:rPr>
          <w:rFonts w:cs="Times New Roman"/>
          <w:bCs/>
          <w:kern w:val="0"/>
          <w:szCs w:val="28"/>
        </w:rPr>
        <w:t>“限制类”</w:t>
      </w:r>
      <w:r>
        <w:rPr>
          <w:rFonts w:cs="Times New Roman"/>
          <w:kern w:val="0"/>
          <w:szCs w:val="28"/>
        </w:rPr>
        <w:t>。</w:t>
      </w:r>
    </w:p>
    <w:p>
      <w:pPr>
        <w:ind w:firstLine="560" w:firstLineChars="200"/>
      </w:pPr>
      <w:r>
        <w:rPr>
          <w:rFonts w:hint="eastAsia"/>
        </w:rPr>
        <w:t>奉化区危险化学品经营以服务配套当地产业为主，适度辐射周边区县。</w:t>
      </w:r>
    </w:p>
    <w:p>
      <w:pPr>
        <w:pStyle w:val="3"/>
        <w:spacing w:after="156"/>
      </w:pPr>
      <w:bookmarkStart w:id="25" w:name="_Toc136353169"/>
      <w:r>
        <w:t xml:space="preserve">5.2 </w:t>
      </w:r>
      <w:r>
        <w:rPr>
          <w:rFonts w:hint="eastAsia"/>
        </w:rPr>
        <w:t>布局原则</w:t>
      </w:r>
      <w:bookmarkEnd w:id="25"/>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（1）</w:t>
      </w:r>
      <w:r>
        <w:rPr>
          <w:rFonts w:hint="eastAsia"/>
        </w:rPr>
        <w:t>危险化学品仓储设施</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远离市区和居民区，在城镇规划区的边缘或相对独立的安全地带选址，并且避开生态保护红线和永久基本农田；充分考虑周边路网条件，减少车辆进出对城市交通风险的影响，实现危险化学品运输快进快出；综合考虑全区危险化学品运输的集散交通组织，较好地辐射各工业集聚区；相关道路满足危险化学品运输车辆的道路条件。</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（2）危险化学品经营网点</w:t>
      </w:r>
    </w:p>
    <w:p>
      <w:pPr>
        <w:overflowPunct w:val="0"/>
        <w:adjustRightInd w:val="0"/>
        <w:snapToGrid w:val="0"/>
        <w:spacing w:line="360" w:lineRule="auto"/>
        <w:ind w:firstLine="560" w:firstLineChars="200"/>
      </w:pPr>
      <w:r>
        <w:rPr>
          <w:rFonts w:hint="eastAsia" w:cs="Times New Roman"/>
          <w:snapToGrid w:val="0"/>
          <w:kern w:val="0"/>
          <w:szCs w:val="28"/>
        </w:rPr>
        <w:t>分类别对危险化学品经营网点进行布局：酸碱类带储存经营点与电镀园区集中布局；满足安全条件的</w:t>
      </w:r>
      <w:r>
        <w:rPr>
          <w:rFonts w:hint="eastAsia"/>
        </w:rPr>
        <w:t>工业气体类经营点近期保持现状；油漆涂料类经营点</w:t>
      </w:r>
      <w:r>
        <w:rPr>
          <w:rFonts w:hint="eastAsia" w:cs="Times New Roman"/>
          <w:snapToGrid w:val="0"/>
          <w:kern w:val="0"/>
          <w:szCs w:val="28"/>
        </w:rPr>
        <w:t>退出机场南路以西的中心城区锦屏岳林片区，同时</w:t>
      </w:r>
      <w:r>
        <w:rPr>
          <w:rFonts w:hint="eastAsia"/>
        </w:rPr>
        <w:t>分区域限制许可数量。</w:t>
      </w:r>
    </w:p>
    <w:p>
      <w:pPr>
        <w:overflowPunct w:val="0"/>
        <w:adjustRightInd w:val="0"/>
        <w:snapToGrid w:val="0"/>
        <w:spacing w:line="360" w:lineRule="auto"/>
        <w:ind w:firstLine="480" w:firstLineChars="200"/>
        <w:rPr>
          <w:sz w:val="24"/>
          <w:szCs w:val="21"/>
        </w:rPr>
      </w:pPr>
      <w:r>
        <w:rPr>
          <w:rFonts w:hint="eastAsia"/>
          <w:sz w:val="24"/>
          <w:szCs w:val="21"/>
        </w:rPr>
        <w:t>[注:中心城区锦屏岳林片区具体范围见《宁波市奉化区分区国土空间总体规划（2021-2035年）》]</w:t>
      </w:r>
    </w:p>
    <w:p>
      <w:pPr>
        <w:pStyle w:val="3"/>
        <w:spacing w:after="156"/>
      </w:pPr>
      <w:bookmarkStart w:id="26" w:name="_Toc136353170"/>
      <w:r>
        <w:t xml:space="preserve">5.3 </w:t>
      </w:r>
      <w:r>
        <w:rPr>
          <w:rFonts w:hint="eastAsia"/>
        </w:rPr>
        <w:t>危险化学品仓储设施总体布局</w:t>
      </w:r>
      <w:bookmarkEnd w:id="26"/>
    </w:p>
    <w:p>
      <w:pPr>
        <w:ind w:firstLine="560"/>
      </w:pPr>
      <w:r>
        <w:rPr>
          <w:rFonts w:hint="eastAsia"/>
        </w:rPr>
        <w:t>将布局原则与奉化实际相结合，危险化学品仓储设施布局方向为奉化城区的南部和东西两侧的三个片区，片区具体范围见图5</w:t>
      </w:r>
      <w:r>
        <w:t>-1</w:t>
      </w:r>
      <w:r>
        <w:rPr>
          <w:rFonts w:hint="eastAsia"/>
        </w:rPr>
        <w:t>。</w:t>
      </w:r>
    </w:p>
    <w:p>
      <w:pPr>
        <w:ind w:firstLine="560"/>
      </w:pPr>
      <w:r>
        <w:rPr>
          <w:rFonts w:hint="eastAsia"/>
        </w:rPr>
        <w:t>城区南部片区邻近沈海高速及其奉化互通和宁海北互通，对外交通条件较好，同时距奉化经济开发区和主城区外围环线较近，能很好地辐射各工业集聚区，奉化仅有的两家工业气体带储存经营企业就在这个片区内。规划新增的集中仓库拟在这个片区内选址。</w:t>
      </w:r>
    </w:p>
    <w:p>
      <w:pPr>
        <w:ind w:firstLine="560"/>
      </w:pPr>
      <w:r>
        <w:rPr>
          <w:rFonts w:hint="eastAsia"/>
        </w:rPr>
        <w:t>城区东侧片区，即白杜片区，同样邻近沈海高速及其奉化互通，这个片区正在建设循环经济园区，内设有电镀园区，规划集聚区内大部分电镀企业。规划新增的带储存经营点拟布局在这个片区，作为电镀园区的配套设施。</w:t>
      </w:r>
    </w:p>
    <w:p>
      <w:pPr>
        <w:ind w:firstLine="560"/>
      </w:pPr>
      <w:r>
        <w:rPr>
          <w:rFonts w:hint="eastAsia"/>
        </w:rPr>
        <w:t>城区西侧片区，即大埠片区，邻近甬金高速溪口东互通，周边有江口街道、萧王庙街道和溪口镇的工业集聚区，可以作为远期建设危险化学品仓储设施的备选区域。</w:t>
      </w:r>
    </w:p>
    <w:p>
      <w:r>
        <w:rPr>
          <w:rFonts w:hint="eastAsia"/>
        </w:rPr>
        <w:drawing>
          <wp:inline distT="0" distB="0" distL="0" distR="0">
            <wp:extent cx="5274310" cy="3335655"/>
            <wp:effectExtent l="0" t="0" r="2540" b="0"/>
            <wp:docPr id="3929016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168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335655"/>
                    </a:xfrm>
                    <a:prstGeom prst="rect">
                      <a:avLst/>
                    </a:prstGeom>
                  </pic:spPr>
                </pic:pic>
              </a:graphicData>
            </a:graphic>
          </wp:inline>
        </w:drawing>
      </w:r>
    </w:p>
    <w:p>
      <w:pPr>
        <w:jc w:val="center"/>
        <w:rPr>
          <w:sz w:val="24"/>
          <w:szCs w:val="21"/>
        </w:rPr>
      </w:pPr>
      <w:r>
        <w:rPr>
          <w:rFonts w:hint="eastAsia"/>
          <w:sz w:val="24"/>
          <w:szCs w:val="21"/>
        </w:rPr>
        <w:t>图5</w:t>
      </w:r>
      <w:r>
        <w:rPr>
          <w:sz w:val="24"/>
          <w:szCs w:val="21"/>
        </w:rPr>
        <w:t xml:space="preserve">-1 </w:t>
      </w:r>
      <w:r>
        <w:rPr>
          <w:rFonts w:hint="eastAsia"/>
          <w:sz w:val="24"/>
          <w:szCs w:val="21"/>
        </w:rPr>
        <w:t>危险化学品储存设施总体布局图</w:t>
      </w:r>
    </w:p>
    <w:p>
      <w:pPr>
        <w:pStyle w:val="3"/>
        <w:spacing w:after="156"/>
      </w:pPr>
      <w:bookmarkStart w:id="27" w:name="_Toc136353171"/>
      <w:r>
        <w:rPr>
          <w:rFonts w:hint="eastAsia"/>
        </w:rPr>
        <w:t>5</w:t>
      </w:r>
      <w:r>
        <w:t xml:space="preserve">.4 </w:t>
      </w:r>
      <w:r>
        <w:rPr>
          <w:rFonts w:hint="eastAsia"/>
        </w:rPr>
        <w:t>危险化学品集中仓储布局</w:t>
      </w:r>
      <w:bookmarkEnd w:id="27"/>
    </w:p>
    <w:p>
      <w:pPr>
        <w:overflowPunct w:val="0"/>
        <w:adjustRightInd w:val="0"/>
        <w:snapToGrid w:val="0"/>
        <w:spacing w:line="360" w:lineRule="auto"/>
        <w:ind w:firstLine="560" w:firstLineChars="200"/>
        <w:rPr>
          <w:rFonts w:cs="Times New Roman"/>
          <w:kern w:val="0"/>
          <w:szCs w:val="28"/>
        </w:rPr>
      </w:pPr>
      <w:r>
        <w:rPr>
          <w:rFonts w:hint="eastAsia" w:cs="Times New Roman"/>
          <w:kern w:val="0"/>
          <w:szCs w:val="28"/>
        </w:rPr>
        <w:t>根据布局要求和国土空间规划实际情况，危险化学品集中仓库选址于奉化区南部尚田街道金地寺村。主要储存类型为甲类、乙类和丙类危险化学品。规划布局</w:t>
      </w:r>
      <w:r>
        <w:rPr>
          <w:rFonts w:cs="Times New Roman"/>
          <w:kern w:val="0"/>
          <w:szCs w:val="28"/>
        </w:rPr>
        <w:t>如</w:t>
      </w:r>
      <w:r>
        <w:rPr>
          <w:rFonts w:hint="eastAsia" w:cs="Times New Roman"/>
          <w:kern w:val="0"/>
          <w:szCs w:val="28"/>
        </w:rPr>
        <w:t>图5</w:t>
      </w:r>
      <w:r>
        <w:rPr>
          <w:rFonts w:cs="Times New Roman"/>
          <w:kern w:val="0"/>
          <w:szCs w:val="28"/>
        </w:rPr>
        <w:t>-2</w:t>
      </w:r>
      <w:r>
        <w:rPr>
          <w:rFonts w:hint="eastAsia" w:cs="Times New Roman"/>
          <w:kern w:val="0"/>
          <w:szCs w:val="28"/>
        </w:rPr>
        <w:t>所示。</w:t>
      </w:r>
    </w:p>
    <w:p>
      <w:pPr>
        <w:overflowPunct w:val="0"/>
        <w:adjustRightInd w:val="0"/>
        <w:snapToGrid w:val="0"/>
        <w:spacing w:line="360" w:lineRule="auto"/>
        <w:jc w:val="center"/>
        <w:rPr>
          <w:rFonts w:cs="Times New Roman"/>
          <w:kern w:val="0"/>
          <w:szCs w:val="28"/>
        </w:rPr>
      </w:pPr>
      <w:r>
        <w:rPr>
          <w:rFonts w:cs="Times New Roman"/>
          <w:kern w:val="0"/>
          <w:szCs w:val="28"/>
        </w:rPr>
        <w:drawing>
          <wp:inline distT="0" distB="0" distL="0" distR="0">
            <wp:extent cx="4902835" cy="2870200"/>
            <wp:effectExtent l="0" t="0" r="0" b="6350"/>
            <wp:docPr id="1327100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0957"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1553" cy="2875027"/>
                    </a:xfrm>
                    <a:prstGeom prst="rect">
                      <a:avLst/>
                    </a:prstGeom>
                  </pic:spPr>
                </pic:pic>
              </a:graphicData>
            </a:graphic>
          </wp:inline>
        </w:drawing>
      </w:r>
    </w:p>
    <w:p>
      <w:pPr>
        <w:adjustRightInd w:val="0"/>
        <w:snapToGrid w:val="0"/>
        <w:spacing w:line="360" w:lineRule="auto"/>
        <w:jc w:val="center"/>
        <w:rPr>
          <w:rFonts w:cs="Times New Roman"/>
          <w:snapToGrid w:val="0"/>
          <w:color w:val="000000"/>
          <w:kern w:val="0"/>
          <w:sz w:val="24"/>
          <w:szCs w:val="24"/>
        </w:rPr>
      </w:pPr>
      <w:r>
        <w:rPr>
          <w:rFonts w:cs="Times New Roman"/>
          <w:snapToGrid w:val="0"/>
          <w:color w:val="000000"/>
          <w:kern w:val="0"/>
          <w:sz w:val="24"/>
          <w:szCs w:val="24"/>
        </w:rPr>
        <w:t>图5-2 奉化区</w:t>
      </w:r>
      <w:r>
        <w:rPr>
          <w:rFonts w:hint="eastAsia" w:cs="Times New Roman"/>
          <w:snapToGrid w:val="0"/>
          <w:color w:val="000000"/>
          <w:kern w:val="0"/>
          <w:sz w:val="24"/>
          <w:szCs w:val="24"/>
        </w:rPr>
        <w:t>危险化学品集中仓储规划布局</w:t>
      </w:r>
      <w:r>
        <w:rPr>
          <w:rFonts w:cs="Times New Roman"/>
          <w:snapToGrid w:val="0"/>
          <w:color w:val="000000"/>
          <w:kern w:val="0"/>
          <w:sz w:val="24"/>
          <w:szCs w:val="24"/>
        </w:rPr>
        <w:t>示意图</w:t>
      </w:r>
    </w:p>
    <w:p>
      <w:pPr>
        <w:pStyle w:val="3"/>
        <w:spacing w:after="156"/>
      </w:pPr>
      <w:bookmarkStart w:id="28" w:name="_Toc136353172"/>
      <w:r>
        <w:t xml:space="preserve">5.5 </w:t>
      </w:r>
      <w:r>
        <w:rPr>
          <w:rFonts w:hint="eastAsia"/>
        </w:rPr>
        <w:t>危险化学品经营网点布局</w:t>
      </w:r>
      <w:bookmarkEnd w:id="28"/>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新增的带储存经营点选址于西坞街道奉化循环经济园区内，规划引导不符合用地要求的带储存经营点迁移到新增点位。</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工业气体带储存经营点都满足用地要求和安全经营条件，规划保留现状</w:t>
      </w:r>
      <w:r>
        <w:rPr>
          <w:rFonts w:hint="eastAsia"/>
        </w:rPr>
        <w:t>。满足安全经营条件的其他类型的带储存经营点，规划保留现状。</w:t>
      </w:r>
    </w:p>
    <w:p>
      <w:pPr>
        <w:overflowPunct w:val="0"/>
        <w:adjustRightInd w:val="0"/>
        <w:snapToGrid w:val="0"/>
        <w:spacing w:line="360" w:lineRule="auto"/>
        <w:ind w:firstLine="560" w:firstLineChars="200"/>
        <w:rPr>
          <w:rFonts w:cs="Times New Roman"/>
          <w:snapToGrid w:val="0"/>
          <w:kern w:val="0"/>
          <w:szCs w:val="28"/>
        </w:rPr>
      </w:pPr>
      <w:r>
        <w:rPr>
          <w:rFonts w:hint="eastAsia"/>
        </w:rPr>
        <w:t>规划布局</w:t>
      </w:r>
      <w:r>
        <w:rPr>
          <w:rFonts w:cs="Times New Roman"/>
          <w:kern w:val="0"/>
          <w:szCs w:val="28"/>
        </w:rPr>
        <w:t>如</w:t>
      </w:r>
      <w:r>
        <w:rPr>
          <w:rFonts w:hint="eastAsia" w:cs="Times New Roman"/>
          <w:kern w:val="0"/>
          <w:szCs w:val="28"/>
        </w:rPr>
        <w:t>图5</w:t>
      </w:r>
      <w:r>
        <w:rPr>
          <w:rFonts w:cs="Times New Roman"/>
          <w:kern w:val="0"/>
          <w:szCs w:val="28"/>
        </w:rPr>
        <w:t>-3</w:t>
      </w:r>
      <w:r>
        <w:rPr>
          <w:rFonts w:hint="eastAsia" w:cs="Times New Roman"/>
          <w:kern w:val="0"/>
          <w:szCs w:val="28"/>
        </w:rPr>
        <w:t>所示。</w:t>
      </w:r>
    </w:p>
    <w:p>
      <w:pPr>
        <w:adjustRightInd w:val="0"/>
        <w:snapToGrid w:val="0"/>
        <w:spacing w:line="360" w:lineRule="auto"/>
        <w:ind w:firstLine="187" w:firstLineChars="67"/>
        <w:jc w:val="center"/>
        <w:rPr>
          <w:rFonts w:cs="Times New Roman"/>
          <w:snapToGrid w:val="0"/>
          <w:kern w:val="0"/>
          <w:szCs w:val="28"/>
        </w:rPr>
      </w:pPr>
      <w:r>
        <w:rPr>
          <w:rFonts w:cs="Times New Roman"/>
          <w:kern w:val="0"/>
          <w:szCs w:val="28"/>
        </w:rPr>
        <w:drawing>
          <wp:inline distT="0" distB="0" distL="0" distR="0">
            <wp:extent cx="5274310" cy="3086100"/>
            <wp:effectExtent l="0" t="0" r="2540" b="0"/>
            <wp:docPr id="900652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52615"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86100"/>
                    </a:xfrm>
                    <a:prstGeom prst="rect">
                      <a:avLst/>
                    </a:prstGeom>
                  </pic:spPr>
                </pic:pic>
              </a:graphicData>
            </a:graphic>
          </wp:inline>
        </w:drawing>
      </w:r>
    </w:p>
    <w:p>
      <w:pPr>
        <w:adjustRightInd w:val="0"/>
        <w:snapToGrid w:val="0"/>
        <w:spacing w:line="360" w:lineRule="auto"/>
        <w:jc w:val="center"/>
        <w:rPr>
          <w:rFonts w:cs="Times New Roman"/>
          <w:snapToGrid w:val="0"/>
          <w:color w:val="000000"/>
          <w:kern w:val="0"/>
          <w:sz w:val="24"/>
          <w:szCs w:val="24"/>
        </w:rPr>
      </w:pPr>
      <w:r>
        <w:rPr>
          <w:rFonts w:cs="Times New Roman"/>
          <w:snapToGrid w:val="0"/>
          <w:color w:val="000000"/>
          <w:kern w:val="0"/>
          <w:sz w:val="24"/>
          <w:szCs w:val="24"/>
        </w:rPr>
        <w:t xml:space="preserve">图5-3 </w:t>
      </w:r>
      <w:r>
        <w:rPr>
          <w:rFonts w:hint="eastAsia" w:cs="Times New Roman"/>
          <w:snapToGrid w:val="0"/>
          <w:color w:val="000000"/>
          <w:kern w:val="0"/>
          <w:sz w:val="24"/>
          <w:szCs w:val="24"/>
        </w:rPr>
        <w:t>危险化学品带储存经营网点规划布局</w:t>
      </w:r>
      <w:r>
        <w:rPr>
          <w:rFonts w:cs="Times New Roman"/>
          <w:snapToGrid w:val="0"/>
          <w:color w:val="000000"/>
          <w:kern w:val="0"/>
          <w:sz w:val="24"/>
          <w:szCs w:val="24"/>
        </w:rPr>
        <w:t>示意图</w:t>
      </w:r>
    </w:p>
    <w:p>
      <w:pPr>
        <w:overflowPunct w:val="0"/>
        <w:adjustRightInd w:val="0"/>
        <w:snapToGrid w:val="0"/>
        <w:spacing w:line="360" w:lineRule="auto"/>
        <w:ind w:firstLine="560" w:firstLineChars="200"/>
        <w:rPr>
          <w:rFonts w:cs="Times New Roman"/>
          <w:kern w:val="0"/>
          <w:szCs w:val="28"/>
        </w:rPr>
      </w:pPr>
      <w:r>
        <w:rPr>
          <w:rFonts w:hint="eastAsia"/>
        </w:rPr>
        <w:t>对于油漆涂料类店面零售网点，规划全部退出</w:t>
      </w:r>
      <w:r>
        <w:rPr>
          <w:rFonts w:hint="eastAsia" w:cs="Times New Roman"/>
          <w:snapToGrid w:val="0"/>
          <w:kern w:val="0"/>
          <w:szCs w:val="28"/>
        </w:rPr>
        <w:t>机场南路以西的中心城区锦屏岳林片区</w:t>
      </w:r>
      <w:r>
        <w:rPr>
          <w:rFonts w:hint="eastAsia"/>
        </w:rPr>
        <w:t>，杜绝“下店上宅、前店后宅”等问题，并分区域实施限额许可（见表5</w:t>
      </w:r>
      <w:r>
        <w:t>-1</w:t>
      </w:r>
      <w:r>
        <w:rPr>
          <w:rFonts w:hint="eastAsia"/>
        </w:rPr>
        <w:t>），鼓励满足要求的油漆店领取危险化学品经营许可证，合法经营。</w:t>
      </w:r>
    </w:p>
    <w:p>
      <w:pPr>
        <w:adjustRightInd w:val="0"/>
        <w:snapToGrid w:val="0"/>
        <w:spacing w:before="156" w:beforeLines="50" w:line="360" w:lineRule="auto"/>
        <w:jc w:val="center"/>
        <w:rPr>
          <w:rFonts w:cs="Times New Roman"/>
          <w:snapToGrid w:val="0"/>
          <w:color w:val="000000"/>
          <w:kern w:val="0"/>
          <w:sz w:val="24"/>
          <w:szCs w:val="24"/>
        </w:rPr>
      </w:pPr>
      <w:r>
        <w:rPr>
          <w:rFonts w:hint="eastAsia" w:cs="Times New Roman"/>
          <w:snapToGrid w:val="0"/>
          <w:color w:val="000000"/>
          <w:kern w:val="0"/>
          <w:sz w:val="24"/>
          <w:szCs w:val="24"/>
        </w:rPr>
        <w:t>表5-</w:t>
      </w:r>
      <w:r>
        <w:rPr>
          <w:rFonts w:cs="Times New Roman"/>
          <w:snapToGrid w:val="0"/>
          <w:color w:val="000000"/>
          <w:kern w:val="0"/>
          <w:sz w:val="24"/>
          <w:szCs w:val="24"/>
        </w:rPr>
        <w:t xml:space="preserve">1 </w:t>
      </w:r>
      <w:r>
        <w:rPr>
          <w:rFonts w:hint="eastAsia" w:cs="Times New Roman"/>
          <w:snapToGrid w:val="0"/>
          <w:color w:val="000000"/>
          <w:kern w:val="0"/>
          <w:sz w:val="24"/>
          <w:szCs w:val="24"/>
        </w:rPr>
        <w:t>油漆类店面零售网点分区域限额许可表</w:t>
      </w:r>
    </w:p>
    <w:tbl>
      <w:tblPr>
        <w:tblStyle w:val="13"/>
        <w:tblW w:w="6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8"/>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8" w:type="dxa"/>
            <w:shd w:val="clear" w:color="auto" w:fill="E7E6E6" w:themeFill="background2"/>
            <w:vAlign w:val="center"/>
          </w:tcPr>
          <w:p>
            <w:pPr>
              <w:overflowPunct w:val="0"/>
              <w:adjustRightInd w:val="0"/>
              <w:snapToGrid w:val="0"/>
              <w:spacing w:before="156" w:beforeLines="50" w:line="360" w:lineRule="auto"/>
              <w:jc w:val="center"/>
              <w:rPr>
                <w:rFonts w:cs="Times New Roman"/>
                <w:snapToGrid w:val="0"/>
                <w:kern w:val="0"/>
                <w:sz w:val="24"/>
                <w:szCs w:val="21"/>
              </w:rPr>
            </w:pPr>
            <w:r>
              <w:rPr>
                <w:rFonts w:hint="eastAsia" w:cs="Times New Roman"/>
                <w:snapToGrid w:val="0"/>
                <w:kern w:val="0"/>
                <w:sz w:val="24"/>
                <w:szCs w:val="21"/>
              </w:rPr>
              <w:t>区域</w:t>
            </w:r>
          </w:p>
        </w:tc>
        <w:tc>
          <w:tcPr>
            <w:tcW w:w="2476" w:type="dxa"/>
            <w:shd w:val="clear" w:color="auto" w:fill="E7E6E6" w:themeFill="background2"/>
            <w:vAlign w:val="center"/>
          </w:tcPr>
          <w:p>
            <w:pPr>
              <w:overflowPunct w:val="0"/>
              <w:adjustRightInd w:val="0"/>
              <w:snapToGrid w:val="0"/>
              <w:spacing w:before="156" w:beforeLines="50" w:line="360" w:lineRule="auto"/>
              <w:jc w:val="center"/>
              <w:rPr>
                <w:rFonts w:cs="Times New Roman"/>
                <w:snapToGrid w:val="0"/>
                <w:kern w:val="0"/>
                <w:sz w:val="24"/>
                <w:szCs w:val="21"/>
              </w:rPr>
            </w:pPr>
            <w:r>
              <w:rPr>
                <w:rFonts w:hint="eastAsia" w:cs="Times New Roman"/>
                <w:snapToGrid w:val="0"/>
                <w:kern w:val="0"/>
                <w:sz w:val="24"/>
                <w:szCs w:val="21"/>
              </w:rPr>
              <w:t>许可限额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8" w:type="dxa"/>
            <w:vAlign w:val="center"/>
          </w:tcPr>
          <w:p>
            <w:pPr>
              <w:adjustRightInd w:val="0"/>
              <w:snapToGrid w:val="0"/>
              <w:spacing w:before="156" w:beforeLines="50" w:line="360" w:lineRule="auto"/>
              <w:jc w:val="center"/>
              <w:rPr>
                <w:rFonts w:cs="Times New Roman"/>
                <w:snapToGrid w:val="0"/>
                <w:color w:val="000000"/>
                <w:kern w:val="0"/>
                <w:sz w:val="24"/>
                <w:szCs w:val="24"/>
              </w:rPr>
            </w:pPr>
            <w:r>
              <w:rPr>
                <w:rFonts w:hint="eastAsia" w:cs="Times New Roman"/>
                <w:snapToGrid w:val="0"/>
                <w:color w:val="000000"/>
                <w:kern w:val="0"/>
                <w:sz w:val="24"/>
                <w:szCs w:val="24"/>
              </w:rPr>
              <w:t>岳林街道、莼湖街道、溪口镇</w:t>
            </w:r>
          </w:p>
        </w:tc>
        <w:tc>
          <w:tcPr>
            <w:tcW w:w="2476" w:type="dxa"/>
            <w:vAlign w:val="center"/>
          </w:tcPr>
          <w:p>
            <w:pPr>
              <w:adjustRightInd w:val="0"/>
              <w:snapToGrid w:val="0"/>
              <w:spacing w:before="156" w:beforeLines="50" w:line="360" w:lineRule="auto"/>
              <w:jc w:val="center"/>
              <w:rPr>
                <w:rFonts w:cs="Times New Roman"/>
                <w:snapToGrid w:val="0"/>
                <w:color w:val="000000"/>
                <w:kern w:val="0"/>
                <w:sz w:val="24"/>
                <w:szCs w:val="24"/>
              </w:rPr>
            </w:pPr>
            <w:r>
              <w:rPr>
                <w:rFonts w:hint="eastAsia" w:cs="Times New Roman"/>
                <w:snapToGrid w:val="0"/>
                <w:color w:val="000000"/>
                <w:kern w:val="0"/>
                <w:sz w:val="24"/>
                <w:szCs w:val="24"/>
              </w:rPr>
              <w:t>1</w:t>
            </w:r>
            <w:r>
              <w:rPr>
                <w:rFonts w:cs="Times New Roman"/>
                <w:snapToGrid w:val="0"/>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8" w:type="dxa"/>
            <w:vAlign w:val="center"/>
          </w:tcPr>
          <w:p>
            <w:pPr>
              <w:adjustRightInd w:val="0"/>
              <w:snapToGrid w:val="0"/>
              <w:spacing w:before="156" w:beforeLines="50" w:line="360" w:lineRule="auto"/>
              <w:jc w:val="center"/>
              <w:rPr>
                <w:rFonts w:cs="Times New Roman"/>
                <w:snapToGrid w:val="0"/>
                <w:color w:val="000000"/>
                <w:kern w:val="0"/>
                <w:sz w:val="24"/>
                <w:szCs w:val="24"/>
              </w:rPr>
            </w:pPr>
            <w:r>
              <w:rPr>
                <w:rFonts w:hint="eastAsia" w:cs="Times New Roman"/>
                <w:snapToGrid w:val="0"/>
                <w:color w:val="000000"/>
                <w:kern w:val="0"/>
                <w:sz w:val="24"/>
                <w:szCs w:val="24"/>
              </w:rPr>
              <w:t>其它街道（镇）</w:t>
            </w:r>
          </w:p>
        </w:tc>
        <w:tc>
          <w:tcPr>
            <w:tcW w:w="2476" w:type="dxa"/>
            <w:vAlign w:val="center"/>
          </w:tcPr>
          <w:p>
            <w:pPr>
              <w:adjustRightInd w:val="0"/>
              <w:snapToGrid w:val="0"/>
              <w:spacing w:before="156" w:beforeLines="50" w:line="360" w:lineRule="auto"/>
              <w:jc w:val="center"/>
              <w:rPr>
                <w:rFonts w:cs="Times New Roman"/>
                <w:snapToGrid w:val="0"/>
                <w:color w:val="000000"/>
                <w:kern w:val="0"/>
                <w:sz w:val="24"/>
                <w:szCs w:val="24"/>
              </w:rPr>
            </w:pPr>
            <w:r>
              <w:rPr>
                <w:rFonts w:hint="eastAsia" w:cs="Times New Roman"/>
                <w:snapToGrid w:val="0"/>
                <w:color w:val="000000"/>
                <w:kern w:val="0"/>
                <w:sz w:val="24"/>
                <w:szCs w:val="24"/>
              </w:rPr>
              <w:t>8</w:t>
            </w:r>
          </w:p>
        </w:tc>
      </w:tr>
    </w:tbl>
    <w:p>
      <w:pPr>
        <w:adjustRightInd w:val="0"/>
        <w:snapToGrid w:val="0"/>
        <w:spacing w:line="360" w:lineRule="auto"/>
        <w:jc w:val="center"/>
        <w:rPr>
          <w:rFonts w:cs="Times New Roman"/>
          <w:snapToGrid w:val="0"/>
          <w:color w:val="000000"/>
          <w:kern w:val="0"/>
          <w:sz w:val="24"/>
          <w:szCs w:val="24"/>
        </w:rPr>
        <w:sectPr>
          <w:pgSz w:w="11906" w:h="16838"/>
          <w:pgMar w:top="1440" w:right="1800" w:bottom="1440" w:left="1800" w:header="851" w:footer="992" w:gutter="0"/>
          <w:cols w:space="425" w:num="1"/>
          <w:docGrid w:type="lines" w:linePitch="312" w:charSpace="0"/>
        </w:sectPr>
      </w:pPr>
    </w:p>
    <w:p>
      <w:pPr>
        <w:pStyle w:val="2"/>
        <w:spacing w:before="156" w:after="156"/>
        <w:rPr>
          <w:rFonts w:cstheme="majorBidi"/>
          <w:sz w:val="32"/>
          <w:szCs w:val="32"/>
        </w:rPr>
      </w:pPr>
      <w:bookmarkStart w:id="29" w:name="_Toc136353173"/>
      <w:r>
        <w:t xml:space="preserve">6 </w:t>
      </w:r>
      <w:r>
        <w:rPr>
          <w:rFonts w:hint="eastAsia"/>
        </w:rPr>
        <w:t>事故应急救援体系及设施规划</w:t>
      </w:r>
      <w:bookmarkEnd w:id="29"/>
    </w:p>
    <w:p>
      <w:pPr>
        <w:pStyle w:val="3"/>
        <w:spacing w:after="156"/>
        <w:rPr>
          <w:color w:val="000000" w:themeColor="text1"/>
          <w14:textFill>
            <w14:solidFill>
              <w14:schemeClr w14:val="tx1"/>
            </w14:solidFill>
          </w14:textFill>
        </w:rPr>
      </w:pPr>
      <w:bookmarkStart w:id="30" w:name="_Toc136353174"/>
      <w:r>
        <w:rPr>
          <w:color w:val="000000" w:themeColor="text1"/>
          <w14:textFill>
            <w14:solidFill>
              <w14:schemeClr w14:val="tx1"/>
            </w14:solidFill>
          </w14:textFill>
        </w:rPr>
        <w:t xml:space="preserve">6.1 </w:t>
      </w:r>
      <w:r>
        <w:rPr>
          <w:rFonts w:hint="eastAsia"/>
          <w:color w:val="000000" w:themeColor="text1"/>
          <w14:textFill>
            <w14:solidFill>
              <w14:schemeClr w14:val="tx1"/>
            </w14:solidFill>
          </w14:textFill>
        </w:rPr>
        <w:t>完善应急预案体系</w:t>
      </w:r>
      <w:bookmarkEnd w:id="30"/>
    </w:p>
    <w:p>
      <w:pPr>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经营和储存过程中发生的事故应急处置按照《宁波市奉化区危险化学品事故应急预案》执行。超出奉化区政府应急处置能力、需要宁波市政府负责处置的，或宁波市政府决定自行负责处置的危险化学品事故应对工作适用上位应急预案《宁波市危险化学品事故应急预案》。</w:t>
      </w:r>
    </w:p>
    <w:p>
      <w:pPr>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危险化学品运输过程中发生的事故应急处置按照《宁波市水域船舶污染事故应急预案》和《宁波奉化区危险化学品道路运输事故应急预案》执行。</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各镇（街道）政府（办事处）、开发区管委会要制定并要求属地相关企业完善相应的危险化学品事故应急预案，确保与区级预案相衔接。</w:t>
      </w:r>
    </w:p>
    <w:p>
      <w:pPr>
        <w:pStyle w:val="3"/>
        <w:spacing w:after="156"/>
        <w:rPr>
          <w:color w:val="000000" w:themeColor="text1"/>
          <w14:textFill>
            <w14:solidFill>
              <w14:schemeClr w14:val="tx1"/>
            </w14:solidFill>
          </w14:textFill>
        </w:rPr>
      </w:pPr>
      <w:bookmarkStart w:id="31" w:name="_Toc136353175"/>
      <w:r>
        <w:rPr>
          <w:color w:val="000000" w:themeColor="text1"/>
          <w14:textFill>
            <w14:solidFill>
              <w14:schemeClr w14:val="tx1"/>
            </w14:solidFill>
          </w14:textFill>
        </w:rPr>
        <w:t xml:space="preserve">6.2 </w:t>
      </w:r>
      <w:r>
        <w:rPr>
          <w:rFonts w:hint="eastAsia"/>
          <w:color w:val="000000" w:themeColor="text1"/>
          <w14:textFill>
            <w14:solidFill>
              <w14:schemeClr w14:val="tx1"/>
            </w14:solidFill>
          </w14:textFill>
        </w:rPr>
        <w:t>推进应急救援设施和队伍建设</w:t>
      </w:r>
      <w:bookmarkEnd w:id="31"/>
    </w:p>
    <w:p>
      <w:pPr>
        <w:overflowPunct w:val="0"/>
        <w:adjustRightInd w:val="0"/>
        <w:snapToGrid w:val="0"/>
        <w:spacing w:line="360" w:lineRule="auto"/>
        <w:ind w:firstLine="560" w:firstLineChars="200"/>
        <w:rPr>
          <w:rFonts w:cs="Times New Roman"/>
          <w:color w:val="000000" w:themeColor="text1"/>
          <w:kern w:val="0"/>
          <w:szCs w:val="28"/>
          <w14:textFill>
            <w14:solidFill>
              <w14:schemeClr w14:val="tx1"/>
            </w14:solidFill>
          </w14:textFill>
        </w:rPr>
      </w:pPr>
      <w:r>
        <w:rPr>
          <w:rFonts w:cs="Times New Roman"/>
          <w:color w:val="000000" w:themeColor="text1"/>
          <w:kern w:val="0"/>
          <w:szCs w:val="28"/>
          <w14:textFill>
            <w14:solidFill>
              <w14:schemeClr w14:val="tx1"/>
            </w14:solidFill>
          </w14:textFill>
        </w:rPr>
        <w:t>布局和规划</w:t>
      </w:r>
      <w:r>
        <w:rPr>
          <w:rFonts w:hint="eastAsia" w:cs="Times New Roman"/>
          <w:color w:val="000000" w:themeColor="text1"/>
          <w:kern w:val="0"/>
          <w:szCs w:val="28"/>
          <w14:textFill>
            <w14:solidFill>
              <w14:schemeClr w14:val="tx1"/>
            </w14:solidFill>
          </w14:textFill>
        </w:rPr>
        <w:t>全区</w:t>
      </w:r>
      <w:r>
        <w:rPr>
          <w:rFonts w:cs="Times New Roman"/>
          <w:color w:val="000000" w:themeColor="text1"/>
          <w:kern w:val="0"/>
          <w:szCs w:val="28"/>
          <w14:textFill>
            <w14:solidFill>
              <w14:schemeClr w14:val="tx1"/>
            </w14:solidFill>
          </w14:textFill>
        </w:rPr>
        <w:t>内消防站建设。</w:t>
      </w:r>
      <w:r>
        <w:rPr>
          <w:rFonts w:hint="eastAsia" w:cs="Times New Roman"/>
          <w:color w:val="000000" w:themeColor="text1"/>
          <w:kern w:val="0"/>
          <w:szCs w:val="28"/>
          <w14:textFill>
            <w14:solidFill>
              <w14:schemeClr w14:val="tx1"/>
            </w14:solidFill>
          </w14:textFill>
        </w:rPr>
        <w:t>在奉化循环经济园区内新建一家</w:t>
      </w:r>
      <w:r>
        <w:rPr>
          <w:rFonts w:cs="Times New Roman"/>
          <w:color w:val="000000" w:themeColor="text1"/>
          <w:kern w:val="0"/>
          <w:szCs w:val="28"/>
          <w14:textFill>
            <w14:solidFill>
              <w14:schemeClr w14:val="tx1"/>
            </w14:solidFill>
          </w14:textFill>
        </w:rPr>
        <w:t>消防站</w:t>
      </w:r>
      <w:r>
        <w:rPr>
          <w:rFonts w:hint="eastAsia" w:cs="Times New Roman"/>
          <w:color w:val="000000" w:themeColor="text1"/>
          <w:kern w:val="0"/>
          <w:szCs w:val="28"/>
          <w14:textFill>
            <w14:solidFill>
              <w14:schemeClr w14:val="tx1"/>
            </w14:solidFill>
          </w14:textFill>
        </w:rPr>
        <w:t>，</w:t>
      </w:r>
      <w:r>
        <w:rPr>
          <w:rFonts w:cs="Times New Roman"/>
          <w:color w:val="000000" w:themeColor="text1"/>
          <w:kern w:val="0"/>
          <w:szCs w:val="28"/>
          <w14:textFill>
            <w14:solidFill>
              <w14:schemeClr w14:val="tx1"/>
            </w14:solidFill>
          </w14:textFill>
        </w:rPr>
        <w:t>按照不低于《城市消防站建设标准》中特勤消防站的标准进行建设，消防车种类、数量、结构以及车载灭火药剂数量、装备器材、防护装具等应满足安全事故处置需要。</w:t>
      </w:r>
    </w:p>
    <w:p>
      <w:pPr>
        <w:overflowPunct w:val="0"/>
        <w:adjustRightInd w:val="0"/>
        <w:snapToGrid w:val="0"/>
        <w:spacing w:line="360" w:lineRule="auto"/>
        <w:ind w:firstLine="560" w:firstLineChars="200"/>
        <w:rPr>
          <w:rFonts w:cs="Times New Roman"/>
          <w:snapToGrid w:val="0"/>
          <w:color w:val="000000" w:themeColor="text1"/>
          <w:kern w:val="0"/>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cs="Times New Roman"/>
          <w:snapToGrid w:val="0"/>
          <w:color w:val="000000" w:themeColor="text1"/>
          <w:kern w:val="0"/>
          <w:szCs w:val="28"/>
          <w14:textFill>
            <w14:solidFill>
              <w14:schemeClr w14:val="tx1"/>
            </w14:solidFill>
          </w14:textFill>
        </w:rPr>
        <w:t>推进危险化学品应急救援队伍建设。加强消防队伍对危险化学品事故的应急救援能力和装备配置。与区域外部的专业消防救援力量建立应急联动救援机制，充分发挥专业救援队伍的力量，保证</w:t>
      </w:r>
      <w:r>
        <w:rPr>
          <w:rFonts w:hint="eastAsia" w:cs="Times New Roman"/>
          <w:snapToGrid w:val="0"/>
          <w:color w:val="000000" w:themeColor="text1"/>
          <w:kern w:val="0"/>
          <w:szCs w:val="28"/>
          <w14:textFill>
            <w14:solidFill>
              <w14:schemeClr w14:val="tx1"/>
            </w14:solidFill>
          </w14:textFill>
        </w:rPr>
        <w:t>区域</w:t>
      </w:r>
      <w:r>
        <w:rPr>
          <w:rFonts w:cs="Times New Roman"/>
          <w:snapToGrid w:val="0"/>
          <w:color w:val="000000" w:themeColor="text1"/>
          <w:kern w:val="0"/>
          <w:szCs w:val="28"/>
          <w14:textFill>
            <w14:solidFill>
              <w14:schemeClr w14:val="tx1"/>
            </w14:solidFill>
          </w14:textFill>
        </w:rPr>
        <w:t>应急救援的需要。</w:t>
      </w:r>
    </w:p>
    <w:p>
      <w:pPr>
        <w:pStyle w:val="2"/>
        <w:spacing w:before="156" w:after="156"/>
      </w:pPr>
      <w:bookmarkStart w:id="32" w:name="_Toc136353176"/>
      <w:r>
        <w:t xml:space="preserve">7 </w:t>
      </w:r>
      <w:r>
        <w:rPr>
          <w:rFonts w:hint="eastAsia"/>
        </w:rPr>
        <w:t>规划的主要任务</w:t>
      </w:r>
      <w:bookmarkEnd w:id="32"/>
    </w:p>
    <w:p>
      <w:pPr>
        <w:pStyle w:val="3"/>
        <w:spacing w:after="156"/>
      </w:pPr>
      <w:bookmarkStart w:id="33" w:name="_Toc136353177"/>
      <w:r>
        <w:t>7</w:t>
      </w:r>
      <w:r>
        <w:rPr>
          <w:rFonts w:hint="eastAsia"/>
        </w:rPr>
        <w:t>.</w:t>
      </w:r>
      <w:r>
        <w:t xml:space="preserve">1 </w:t>
      </w:r>
      <w:r>
        <w:rPr>
          <w:rFonts w:hint="eastAsia"/>
        </w:rPr>
        <w:t>建设集中共享仓库</w:t>
      </w:r>
      <w:bookmarkEnd w:id="33"/>
    </w:p>
    <w:p>
      <w:pPr>
        <w:overflowPunct w:val="0"/>
        <w:adjustRightInd w:val="0"/>
        <w:snapToGrid w:val="0"/>
        <w:spacing w:line="360" w:lineRule="auto"/>
        <w:ind w:firstLine="560" w:firstLineChars="200"/>
        <w:rPr>
          <w:rFonts w:cs="Times New Roman"/>
          <w:szCs w:val="28"/>
        </w:rPr>
      </w:pPr>
      <w:r>
        <w:rPr>
          <w:rFonts w:hint="eastAsia" w:cs="Times New Roman"/>
          <w:szCs w:val="28"/>
        </w:rPr>
        <w:t>在规划选址地块建设集中共享仓库，鼓励液体类和固体类危险化学品经营企业入库储存，同时接收个别危险化学品生产企业原料和产品储存、部分危险化学品使用单位的中间仓库超量储存，并作为执法罚没或扣押的危险化学品暂存库。集中仓库委托专业机构统一管理，从根本上解决经营企业储存条件不达标、超量储存、隐蔽储存等问题。</w:t>
      </w:r>
    </w:p>
    <w:p>
      <w:pPr>
        <w:overflowPunct w:val="0"/>
        <w:adjustRightInd w:val="0"/>
        <w:snapToGrid w:val="0"/>
        <w:spacing w:line="360" w:lineRule="auto"/>
        <w:ind w:firstLine="560" w:firstLineChars="200"/>
        <w:rPr>
          <w:rFonts w:cs="Times New Roman"/>
          <w:szCs w:val="28"/>
        </w:rPr>
      </w:pPr>
      <w:r>
        <w:rPr>
          <w:rFonts w:hint="eastAsia" w:cs="Times New Roman"/>
          <w:szCs w:val="28"/>
        </w:rPr>
        <w:t>根据储存危险化学品的种类和特性，建立健全安全管理规章制度和安全操作规程，设置相应的监测、监控、通风、防晒、高温、防火、灭火、防爆、泄压、防毒、中和、防潮、防雷、防静电、防腐、防泄漏等安全设施、设备以及相关警示标志，对安全设施、设备进行经常性维护、保养，保证设施设备的安全使用。</w:t>
      </w:r>
    </w:p>
    <w:p>
      <w:pPr>
        <w:pStyle w:val="3"/>
        <w:spacing w:after="156"/>
      </w:pPr>
      <w:bookmarkStart w:id="34" w:name="_Toc136353178"/>
      <w:r>
        <w:t>7</w:t>
      </w:r>
      <w:r>
        <w:rPr>
          <w:rFonts w:hint="eastAsia"/>
        </w:rPr>
        <w:t>.</w:t>
      </w:r>
      <w:r>
        <w:t xml:space="preserve">2 </w:t>
      </w:r>
      <w:r>
        <w:rPr>
          <w:rFonts w:hint="eastAsia"/>
        </w:rPr>
        <w:t>创新经营配送模式</w:t>
      </w:r>
      <w:bookmarkEnd w:id="34"/>
    </w:p>
    <w:p>
      <w:r>
        <w:rPr>
          <w:rFonts w:hint="eastAsia"/>
        </w:rPr>
        <w:t xml:space="preserve"> </w:t>
      </w:r>
      <w:r>
        <w:t xml:space="preserve">   </w:t>
      </w:r>
      <w:r>
        <w:rPr>
          <w:rFonts w:hint="eastAsia"/>
        </w:rPr>
        <w:t>采用市场化方式，委托危险化学品专业运输公司为经营企业提供运输服务。按照“五统一”（统一产权关系、统一劳动关系、统一运输组织、统一财务管理、统一管理责任）要求，对挂靠经营的车辆，通过合资参股、企业回购、注销等方式进行整改。</w:t>
      </w:r>
    </w:p>
    <w:p>
      <w:pPr>
        <w:pStyle w:val="3"/>
        <w:spacing w:after="156"/>
        <w:rPr>
          <w:color w:val="000000" w:themeColor="text1"/>
          <w14:textFill>
            <w14:solidFill>
              <w14:schemeClr w14:val="tx1"/>
            </w14:solidFill>
          </w14:textFill>
        </w:rPr>
      </w:pPr>
      <w:bookmarkStart w:id="35" w:name="_Toc136353179"/>
      <w:r>
        <w:rPr>
          <w:color w:val="000000" w:themeColor="text1"/>
          <w14:textFill>
            <w14:solidFill>
              <w14:schemeClr w14:val="tx1"/>
            </w14:solidFill>
          </w14:textFill>
        </w:rPr>
        <w:t xml:space="preserve">7.3 </w:t>
      </w:r>
      <w:r>
        <w:rPr>
          <w:rFonts w:hint="eastAsia"/>
          <w:color w:val="000000" w:themeColor="text1"/>
          <w14:textFill>
            <w14:solidFill>
              <w14:schemeClr w14:val="tx1"/>
            </w14:solidFill>
          </w14:textFill>
        </w:rPr>
        <w:t>设置车辆停放场所</w:t>
      </w:r>
      <w:bookmarkEnd w:id="35"/>
    </w:p>
    <w:p>
      <w:pPr>
        <w:overflowPunct w:val="0"/>
        <w:adjustRightInd w:val="0"/>
        <w:snapToGrid w:val="0"/>
        <w:spacing w:line="360" w:lineRule="auto"/>
        <w:ind w:firstLine="560" w:firstLineChars="200"/>
        <w:rPr>
          <w:color w:val="000000" w:themeColor="text1"/>
          <w14:textFill>
            <w14:solidFill>
              <w14:schemeClr w14:val="tx1"/>
            </w14:solidFill>
          </w14:textFill>
        </w:rPr>
      </w:pPr>
      <w:r>
        <w:rPr>
          <w:rFonts w:hint="eastAsia" w:cs="Times New Roman"/>
          <w:snapToGrid w:val="0"/>
          <w:color w:val="000000" w:themeColor="text1"/>
          <w:kern w:val="0"/>
          <w:szCs w:val="28"/>
          <w14:textFill>
            <w14:solidFill>
              <w14:schemeClr w14:val="tx1"/>
            </w14:solidFill>
          </w14:textFill>
        </w:rPr>
        <w:t>按</w:t>
      </w:r>
      <w:r>
        <w:rPr>
          <w:rFonts w:cs="Times New Roman"/>
          <w:snapToGrid w:val="0"/>
          <w:color w:val="000000" w:themeColor="text1"/>
          <w:kern w:val="0"/>
          <w:szCs w:val="28"/>
          <w14:textFill>
            <w14:solidFill>
              <w14:schemeClr w14:val="tx1"/>
            </w14:solidFill>
          </w14:textFill>
        </w:rPr>
        <w:t>照与储</w:t>
      </w:r>
      <w:r>
        <w:rPr>
          <w:rFonts w:hint="eastAsia" w:cs="Times New Roman"/>
          <w:snapToGrid w:val="0"/>
          <w:color w:val="000000" w:themeColor="text1"/>
          <w:kern w:val="0"/>
          <w:szCs w:val="28"/>
          <w14:textFill>
            <w14:solidFill>
              <w14:schemeClr w14:val="tx1"/>
            </w14:solidFill>
          </w14:textFill>
        </w:rPr>
        <w:t>存</w:t>
      </w:r>
      <w:r>
        <w:rPr>
          <w:rFonts w:cs="Times New Roman"/>
          <w:snapToGrid w:val="0"/>
          <w:color w:val="000000" w:themeColor="text1"/>
          <w:kern w:val="0"/>
          <w:szCs w:val="28"/>
          <w14:textFill>
            <w14:solidFill>
              <w14:schemeClr w14:val="tx1"/>
            </w14:solidFill>
          </w14:textFill>
        </w:rPr>
        <w:t>场所就近</w:t>
      </w:r>
      <w:r>
        <w:rPr>
          <w:rFonts w:hint="eastAsia" w:cs="Times New Roman"/>
          <w:snapToGrid w:val="0"/>
          <w:color w:val="000000" w:themeColor="text1"/>
          <w:kern w:val="0"/>
          <w:szCs w:val="28"/>
          <w14:textFill>
            <w14:solidFill>
              <w14:schemeClr w14:val="tx1"/>
            </w14:solidFill>
          </w14:textFill>
        </w:rPr>
        <w:t>的</w:t>
      </w:r>
      <w:r>
        <w:rPr>
          <w:rFonts w:cs="Times New Roman"/>
          <w:snapToGrid w:val="0"/>
          <w:color w:val="000000" w:themeColor="text1"/>
          <w:kern w:val="0"/>
          <w:szCs w:val="28"/>
          <w14:textFill>
            <w14:solidFill>
              <w14:schemeClr w14:val="tx1"/>
            </w14:solidFill>
          </w14:textFill>
        </w:rPr>
        <w:t>原则</w:t>
      </w:r>
      <w:r>
        <w:rPr>
          <w:rFonts w:hint="eastAsia" w:cs="Times New Roman"/>
          <w:snapToGrid w:val="0"/>
          <w:color w:val="000000" w:themeColor="text1"/>
          <w:kern w:val="0"/>
          <w:szCs w:val="28"/>
          <w14:textFill>
            <w14:solidFill>
              <w14:schemeClr w14:val="tx1"/>
            </w14:solidFill>
          </w14:textFill>
        </w:rPr>
        <w:t>，在奉化循环经济园区内</w:t>
      </w:r>
      <w:r>
        <w:rPr>
          <w:rFonts w:cs="Times New Roman"/>
          <w:snapToGrid w:val="0"/>
          <w:color w:val="000000" w:themeColor="text1"/>
          <w:kern w:val="0"/>
          <w:szCs w:val="28"/>
          <w14:textFill>
            <w14:solidFill>
              <w14:schemeClr w14:val="tx1"/>
            </w14:solidFill>
          </w14:textFill>
        </w:rPr>
        <w:t>设立专门的危险化学品车辆</w:t>
      </w:r>
      <w:r>
        <w:rPr>
          <w:rFonts w:hint="eastAsia" w:cs="Times New Roman"/>
          <w:snapToGrid w:val="0"/>
          <w:color w:val="000000" w:themeColor="text1"/>
          <w:kern w:val="0"/>
          <w:szCs w:val="28"/>
          <w14:textFill>
            <w14:solidFill>
              <w14:schemeClr w14:val="tx1"/>
            </w14:solidFill>
          </w14:textFill>
        </w:rPr>
        <w:t>停放场所。集中共享仓库和工业气体类带储存经营点可</w:t>
      </w:r>
      <w:r>
        <w:rPr>
          <w:rFonts w:cs="Times New Roman"/>
          <w:snapToGrid w:val="0"/>
          <w:color w:val="000000" w:themeColor="text1"/>
          <w:kern w:val="0"/>
          <w:szCs w:val="28"/>
          <w14:textFill>
            <w14:solidFill>
              <w14:schemeClr w14:val="tx1"/>
            </w14:solidFill>
          </w14:textFill>
        </w:rPr>
        <w:t>在内部场地规划出专门的地块用于车辆停放，确保车辆停放场所的安全。危险化学品车辆</w:t>
      </w:r>
      <w:r>
        <w:rPr>
          <w:rFonts w:hint="eastAsia" w:cs="Times New Roman"/>
          <w:snapToGrid w:val="0"/>
          <w:color w:val="000000" w:themeColor="text1"/>
          <w:kern w:val="0"/>
          <w:szCs w:val="28"/>
          <w14:textFill>
            <w14:solidFill>
              <w14:schemeClr w14:val="tx1"/>
            </w14:solidFill>
          </w14:textFill>
        </w:rPr>
        <w:t>维护和</w:t>
      </w:r>
      <w:r>
        <w:rPr>
          <w:rFonts w:cs="Times New Roman"/>
          <w:snapToGrid w:val="0"/>
          <w:color w:val="000000" w:themeColor="text1"/>
          <w:kern w:val="0"/>
          <w:szCs w:val="28"/>
          <w14:textFill>
            <w14:solidFill>
              <w14:schemeClr w14:val="tx1"/>
            </w14:solidFill>
          </w14:textFill>
        </w:rPr>
        <w:t>维修</w:t>
      </w:r>
      <w:r>
        <w:rPr>
          <w:rFonts w:hint="eastAsia" w:cs="Times New Roman"/>
          <w:snapToGrid w:val="0"/>
          <w:color w:val="000000" w:themeColor="text1"/>
          <w:kern w:val="0"/>
          <w:szCs w:val="28"/>
          <w14:textFill>
            <w14:solidFill>
              <w14:schemeClr w14:val="tx1"/>
            </w14:solidFill>
          </w14:textFill>
        </w:rPr>
        <w:t>，依托区内货运车辆维修单位</w:t>
      </w:r>
      <w:r>
        <w:rPr>
          <w:rFonts w:cs="Times New Roman"/>
          <w:snapToGrid w:val="0"/>
          <w:color w:val="000000" w:themeColor="text1"/>
          <w:kern w:val="0"/>
          <w:szCs w:val="28"/>
          <w14:textFill>
            <w14:solidFill>
              <w14:schemeClr w14:val="tx1"/>
            </w14:solidFill>
          </w14:textFill>
        </w:rPr>
        <w:t>。危险化学品车辆清洗、检测检验可依托</w:t>
      </w:r>
      <w:r>
        <w:rPr>
          <w:rFonts w:hint="eastAsia" w:cs="Times New Roman"/>
          <w:snapToGrid w:val="0"/>
          <w:color w:val="000000" w:themeColor="text1"/>
          <w:kern w:val="0"/>
          <w:szCs w:val="28"/>
          <w14:textFill>
            <w14:solidFill>
              <w14:schemeClr w14:val="tx1"/>
            </w14:solidFill>
          </w14:textFill>
        </w:rPr>
        <w:t>宁波市</w:t>
      </w:r>
      <w:r>
        <w:rPr>
          <w:rFonts w:cs="Times New Roman"/>
          <w:snapToGrid w:val="0"/>
          <w:color w:val="000000" w:themeColor="text1"/>
          <w:kern w:val="0"/>
          <w:szCs w:val="28"/>
          <w14:textFill>
            <w14:solidFill>
              <w14:schemeClr w14:val="tx1"/>
            </w14:solidFill>
          </w14:textFill>
        </w:rPr>
        <w:t>统一设置的场所</w:t>
      </w:r>
      <w:r>
        <w:rPr>
          <w:rFonts w:hint="eastAsia" w:cs="Times New Roman"/>
          <w:snapToGrid w:val="0"/>
          <w:color w:val="000000" w:themeColor="text1"/>
          <w:kern w:val="0"/>
          <w:szCs w:val="28"/>
          <w14:textFill>
            <w14:solidFill>
              <w14:schemeClr w14:val="tx1"/>
            </w14:solidFill>
          </w14:textFill>
        </w:rPr>
        <w:t>，</w:t>
      </w:r>
      <w:r>
        <w:rPr>
          <w:rFonts w:cs="Times New Roman"/>
          <w:snapToGrid w:val="0"/>
          <w:color w:val="000000" w:themeColor="text1"/>
          <w:kern w:val="0"/>
          <w:szCs w:val="28"/>
          <w14:textFill>
            <w14:solidFill>
              <w14:schemeClr w14:val="tx1"/>
            </w14:solidFill>
          </w14:textFill>
        </w:rPr>
        <w:t>禁止危险化学品运输车辆在普通清洗单位或场地清洗。</w:t>
      </w:r>
    </w:p>
    <w:p>
      <w:pPr>
        <w:pStyle w:val="3"/>
        <w:spacing w:after="156"/>
      </w:pPr>
      <w:bookmarkStart w:id="36" w:name="_Toc136353180"/>
      <w:r>
        <w:t>7</w:t>
      </w:r>
      <w:r>
        <w:rPr>
          <w:rFonts w:hint="eastAsia"/>
        </w:rPr>
        <w:t>.</w:t>
      </w:r>
      <w:r>
        <w:t xml:space="preserve">4 </w:t>
      </w:r>
      <w:r>
        <w:rPr>
          <w:rFonts w:hint="eastAsia"/>
        </w:rPr>
        <w:t>严格经营准入条件</w:t>
      </w:r>
      <w:bookmarkEnd w:id="36"/>
    </w:p>
    <w:p>
      <w:pPr>
        <w:spacing w:line="360" w:lineRule="auto"/>
        <w:ind w:firstLine="560" w:firstLineChars="200"/>
        <w:rPr>
          <w:rFonts w:cs="Times New Roman"/>
          <w:szCs w:val="28"/>
        </w:rPr>
      </w:pPr>
      <w:r>
        <w:rPr>
          <w:rFonts w:hint="eastAsia" w:cs="Times New Roman"/>
          <w:szCs w:val="28"/>
        </w:rPr>
        <w:t>新建集中仓库和带储存经营点必须依据本规划选址，鼓励经营企业</w:t>
      </w:r>
      <w:r>
        <w:rPr>
          <w:rFonts w:cs="Times New Roman"/>
          <w:szCs w:val="28"/>
        </w:rPr>
        <w:t>进入</w:t>
      </w:r>
      <w:r>
        <w:rPr>
          <w:rFonts w:hint="eastAsia" w:cs="Times New Roman"/>
          <w:szCs w:val="28"/>
        </w:rPr>
        <w:t>集中仓库储存，规划选址</w:t>
      </w:r>
      <w:r>
        <w:rPr>
          <w:rFonts w:cs="Times New Roman"/>
          <w:szCs w:val="28"/>
        </w:rPr>
        <w:t>外</w:t>
      </w:r>
      <w:r>
        <w:rPr>
          <w:rFonts w:hint="eastAsia" w:cs="Times New Roman"/>
          <w:szCs w:val="28"/>
        </w:rPr>
        <w:t>原则上</w:t>
      </w:r>
      <w:r>
        <w:rPr>
          <w:rFonts w:cs="Times New Roman"/>
          <w:szCs w:val="28"/>
        </w:rPr>
        <w:t>禁止新建、改建、扩建新增用地的危险化学品</w:t>
      </w:r>
      <w:r>
        <w:rPr>
          <w:rFonts w:hint="eastAsia" w:cs="Times New Roman"/>
          <w:szCs w:val="28"/>
        </w:rPr>
        <w:t>带储存经营</w:t>
      </w:r>
      <w:r>
        <w:rPr>
          <w:rFonts w:cs="Times New Roman"/>
          <w:szCs w:val="28"/>
        </w:rPr>
        <w:t>项目。</w:t>
      </w:r>
      <w:r>
        <w:rPr>
          <w:rFonts w:hint="eastAsia" w:cs="Times New Roman"/>
          <w:szCs w:val="28"/>
        </w:rPr>
        <w:t>对于危险化学品经营企业（不带储存零售经营），须符合《危险化学品经营企业安全技术基本要求》的技术条件。</w:t>
      </w:r>
    </w:p>
    <w:p>
      <w:pPr>
        <w:pStyle w:val="3"/>
        <w:spacing w:after="156"/>
      </w:pPr>
      <w:bookmarkStart w:id="37" w:name="_Toc136353181"/>
      <w:r>
        <w:t xml:space="preserve">7.5 </w:t>
      </w:r>
      <w:r>
        <w:rPr>
          <w:rFonts w:hint="eastAsia"/>
        </w:rPr>
        <w:t>防范重大安全风险</w:t>
      </w:r>
      <w:bookmarkEnd w:id="37"/>
    </w:p>
    <w:p>
      <w:r>
        <w:rPr>
          <w:rFonts w:hint="eastAsia"/>
        </w:rPr>
        <w:t xml:space="preserve"> </w:t>
      </w:r>
      <w:r>
        <w:t xml:space="preserve">   </w:t>
      </w:r>
      <w:r>
        <w:rPr>
          <w:rFonts w:hint="eastAsia"/>
        </w:rPr>
        <w:t>从优化建筑平面布置和限制单仓容量入手，防止新建仓库和储存场所构成重大危险源。健全现有重大危险源企业安全风险分级管控和动态监测预警常态化机制。依法督促属于消防安全重点单位的危险化学品企业实施线上消防安全自主管理，开展消防安全风险分级研判管控，推动企业使用消防物联网设施联网监测。完善“消地协作”联合约谈、联合挂牌等协作机制，常态化开展危险化学品重大危险源督导检查。</w:t>
      </w:r>
    </w:p>
    <w:p>
      <w:pPr>
        <w:pStyle w:val="3"/>
        <w:spacing w:after="156"/>
      </w:pPr>
      <w:bookmarkStart w:id="38" w:name="_Toc136353182"/>
      <w:bookmarkStart w:id="39" w:name="_Toc1959433"/>
      <w:bookmarkStart w:id="40" w:name="_Toc517879977"/>
      <w:bookmarkStart w:id="41" w:name="_Toc88821737"/>
      <w:bookmarkStart w:id="42" w:name="_Toc514026019"/>
      <w:bookmarkStart w:id="43" w:name="_Toc514026883"/>
      <w:r>
        <w:t xml:space="preserve">7.6 </w:t>
      </w:r>
      <w:r>
        <w:rPr>
          <w:rFonts w:hint="eastAsia"/>
        </w:rPr>
        <w:t>配强安全监管力量</w:t>
      </w:r>
      <w:bookmarkEnd w:id="38"/>
    </w:p>
    <w:p>
      <w:r>
        <w:rPr>
          <w:rFonts w:hint="eastAsia"/>
        </w:rPr>
        <w:t xml:space="preserve"> </w:t>
      </w:r>
      <w:r>
        <w:t xml:space="preserve">   </w:t>
      </w:r>
      <w:r>
        <w:rPr>
          <w:rFonts w:hint="eastAsia"/>
        </w:rPr>
        <w:t>落实市安委办、市委编办、市应急管理局印发的《关于加强危险化学品安全监管执法专业力量建设的指导意见》文件要求，优化编制资源配置，加大编制资源和专业人才挖潜力度，配齐配强危险化学品监管执法力量和专业人员。统筹调配专业力量，争取并保持区级应急管理部门危险化学品安全监管执法人员中具有安全生产相关专业学历和实践经验的不低于在职人员的75%。建立健全危险化学品安全生产监管干部培训机制，强化入职培训、年度复训，逐步提升德才素质和履职能力。</w:t>
      </w:r>
    </w:p>
    <w:p>
      <w:pPr>
        <w:pStyle w:val="3"/>
        <w:spacing w:after="156"/>
      </w:pPr>
      <w:bookmarkStart w:id="44" w:name="_Toc136353183"/>
      <w:r>
        <w:t>7</w:t>
      </w:r>
      <w:r>
        <w:rPr>
          <w:rFonts w:hint="eastAsia"/>
        </w:rPr>
        <w:t>.</w:t>
      </w:r>
      <w:r>
        <w:t xml:space="preserve">7 </w:t>
      </w:r>
      <w:r>
        <w:rPr>
          <w:rFonts w:hint="eastAsia"/>
        </w:rPr>
        <w:t>强化数字技术赋能</w:t>
      </w:r>
      <w:bookmarkEnd w:id="44"/>
    </w:p>
    <w:p>
      <w:pPr>
        <w:ind w:firstLine="560" w:firstLineChars="200"/>
      </w:pPr>
      <w:r>
        <w:rPr>
          <w:rFonts w:hint="eastAsia"/>
        </w:rPr>
        <w:t>推进危险化学品全链条安全风险智控场景建设。贯彻落实《宁波市危险化学品全链条安全风险智控场景应用改革实施方案》，用好危险化学品全链条安全风险智控场景应用，建立区、镇（街道）二级和危险化学品主体单位场景应用运行配套体制机制，实现企业主体履责力、属地管控力、行业部门监管力指数管理。</w:t>
      </w:r>
    </w:p>
    <w:p>
      <w:pPr>
        <w:ind w:firstLine="560" w:firstLineChars="200"/>
        <w:rPr>
          <w:color w:val="000000" w:themeColor="text1"/>
          <w14:textFill>
            <w14:solidFill>
              <w14:schemeClr w14:val="tx1"/>
            </w14:solidFill>
          </w14:textFill>
        </w:rPr>
      </w:pPr>
      <w:r>
        <w:rPr>
          <w:rFonts w:hint="eastAsia"/>
        </w:rPr>
        <w:t>依托省危险化学品全生命周期在线平台，加强数字打非场景功能应用，强化问题闭环处置和部门监管信息共享。</w:t>
      </w:r>
      <w:r>
        <w:rPr>
          <w:rFonts w:hint="eastAsia"/>
          <w:color w:val="000000" w:themeColor="text1"/>
          <w14:textFill>
            <w14:solidFill>
              <w14:schemeClr w14:val="tx1"/>
            </w14:solidFill>
          </w14:textFill>
        </w:rPr>
        <w:t>运用宁波市危险化学品道路运输安全风险智能控制数字化系统，做好信息采集、录入工作，及时维护和处理预警信息，实现危险化学品道路运输全流程、闭环化管理。</w:t>
      </w:r>
    </w:p>
    <w:p>
      <w:pPr>
        <w:pStyle w:val="3"/>
        <w:spacing w:after="156"/>
        <w:rPr>
          <w:snapToGrid w:val="0"/>
        </w:rPr>
      </w:pPr>
      <w:bookmarkStart w:id="45" w:name="_Toc136353184"/>
      <w:r>
        <w:rPr>
          <w:snapToGrid w:val="0"/>
        </w:rPr>
        <w:t xml:space="preserve">7.8 </w:t>
      </w:r>
      <w:bookmarkEnd w:id="39"/>
      <w:bookmarkEnd w:id="40"/>
      <w:bookmarkEnd w:id="41"/>
      <w:bookmarkEnd w:id="42"/>
      <w:bookmarkEnd w:id="43"/>
      <w:r>
        <w:rPr>
          <w:rFonts w:hint="eastAsia"/>
          <w:snapToGrid w:val="0"/>
        </w:rPr>
        <w:t>加强人员教育培训</w:t>
      </w:r>
      <w:bookmarkEnd w:id="45"/>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加强专业人才培养。提升从业人员素质，涉及“两重点一重大”的危险化学品企业主要负责人具备化学、化工、安全等相关专业大专及以上学历或化工类中级及以上职称；涉及重大危险源、储存设施操作人员具备高中及以上学历或化工类中等及以上职业教育水平；涉及爆炸危险性化学品的生产装置和储存设施的操作人员必须具备化工类大专及以上学历。</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开展企业人员培训。按规定开展危险化学品企业工伤预防能力提升培训，建立企业安全生产分管负责人、管理人员、班组长集中轮训制度。实施危险化学品企业主要负责人、安全管理人员和特种作业人员安全技能提升晋级培训。加强专家指导服务，重点帮助提升重点高危企业的风险管控和事故防范能力。</w:t>
      </w:r>
    </w:p>
    <w:p>
      <w:pPr>
        <w:overflowPunct w:val="0"/>
        <w:adjustRightInd w:val="0"/>
        <w:snapToGrid w:val="0"/>
        <w:spacing w:line="360" w:lineRule="auto"/>
        <w:ind w:firstLine="560" w:firstLineChars="200"/>
        <w:rPr>
          <w:rFonts w:cs="Times New Roman"/>
          <w:snapToGrid w:val="0"/>
          <w:kern w:val="0"/>
          <w:szCs w:val="28"/>
        </w:rPr>
        <w:sectPr>
          <w:pgSz w:w="11906" w:h="16838"/>
          <w:pgMar w:top="1440" w:right="1800" w:bottom="1440" w:left="1800" w:header="851" w:footer="992" w:gutter="0"/>
          <w:cols w:space="425" w:num="1"/>
          <w:docGrid w:type="lines" w:linePitch="312" w:charSpace="0"/>
        </w:sectPr>
      </w:pPr>
      <w:r>
        <w:rPr>
          <w:rFonts w:hint="eastAsia" w:cs="Times New Roman"/>
          <w:snapToGrid w:val="0"/>
          <w:kern w:val="0"/>
          <w:szCs w:val="28"/>
        </w:rPr>
        <w:t>创新安全教育培训方式方法。</w:t>
      </w:r>
      <w:r>
        <w:rPr>
          <w:rFonts w:cs="Times New Roman"/>
          <w:snapToGrid w:val="0"/>
          <w:color w:val="000000" w:themeColor="text1"/>
          <w:kern w:val="0"/>
          <w:szCs w:val="28"/>
          <w14:textFill>
            <w14:solidFill>
              <w14:schemeClr w14:val="tx1"/>
            </w14:solidFill>
          </w14:textFill>
        </w:rPr>
        <w:t>强化人脸识别技术在线上培训、安全考试中的运用，确保安全培训取得实效。通过应急安全体验馆、事故案例解剖、应急演练等形式，组织开展知识竞赛、短视频征集展播等互动活动，提高安全教育培训趣味性和针对性。</w:t>
      </w:r>
    </w:p>
    <w:p>
      <w:pPr>
        <w:pStyle w:val="2"/>
        <w:spacing w:before="156" w:after="156"/>
      </w:pPr>
      <w:bookmarkStart w:id="46" w:name="_Toc136353185"/>
      <w:r>
        <w:rPr>
          <w:rFonts w:hint="eastAsia"/>
        </w:rPr>
        <w:t>8</w:t>
      </w:r>
      <w:r>
        <w:t xml:space="preserve"> </w:t>
      </w:r>
      <w:r>
        <w:rPr>
          <w:rFonts w:hint="eastAsia"/>
        </w:rPr>
        <w:t>重点工程</w:t>
      </w:r>
      <w:bookmarkEnd w:id="46"/>
    </w:p>
    <w:p>
      <w:pPr>
        <w:pStyle w:val="3"/>
        <w:spacing w:after="156"/>
      </w:pPr>
      <w:bookmarkStart w:id="47" w:name="_Toc136353186"/>
      <w:r>
        <w:t xml:space="preserve">8.1 </w:t>
      </w:r>
      <w:r>
        <w:rPr>
          <w:rFonts w:hint="eastAsia"/>
        </w:rPr>
        <w:t>危险化学品集中仓库建设工程</w:t>
      </w:r>
      <w:bookmarkEnd w:id="47"/>
    </w:p>
    <w:p>
      <w:pPr>
        <w:pStyle w:val="4"/>
      </w:pPr>
      <w:bookmarkStart w:id="48" w:name="_Toc136353187"/>
      <w:r>
        <w:t xml:space="preserve">8.1.1 </w:t>
      </w:r>
      <w:r>
        <w:rPr>
          <w:rFonts w:hint="eastAsia"/>
        </w:rPr>
        <w:t>选址地块</w:t>
      </w:r>
      <w:bookmarkEnd w:id="48"/>
    </w:p>
    <w:p>
      <w:r>
        <w:rPr>
          <w:rFonts w:hint="eastAsia"/>
        </w:rPr>
        <w:t xml:space="preserve"> </w:t>
      </w:r>
      <w:r>
        <w:t xml:space="preserve">   </w:t>
      </w:r>
      <w:r>
        <w:rPr>
          <w:rFonts w:hint="eastAsia" w:cs="Times New Roman"/>
          <w:kern w:val="0"/>
          <w:szCs w:val="28"/>
        </w:rPr>
        <w:t>选址于奉化区南部尚田街道金地寺村</w:t>
      </w:r>
      <w:r>
        <w:rPr>
          <w:rFonts w:hint="eastAsia"/>
        </w:rPr>
        <w:t>，地块面积约1</w:t>
      </w:r>
      <w:r>
        <w:t>7</w:t>
      </w:r>
      <w:r>
        <w:rPr>
          <w:rFonts w:hint="eastAsia"/>
        </w:rPr>
        <w:t>亩。</w:t>
      </w:r>
    </w:p>
    <w:p>
      <w:pPr>
        <w:jc w:val="center"/>
      </w:pPr>
      <w:r>
        <w:rPr>
          <w:rFonts w:hint="eastAsia" w:cs="Times New Roman"/>
          <w:kern w:val="0"/>
          <w:szCs w:val="28"/>
        </w:rPr>
        <w:drawing>
          <wp:inline distT="0" distB="0" distL="0" distR="0">
            <wp:extent cx="4006850" cy="3432810"/>
            <wp:effectExtent l="0" t="0" r="0" b="0"/>
            <wp:docPr id="2013889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89688" name="图片 1"/>
                    <pic:cNvPicPr>
                      <a:picLocks noChangeAspect="1"/>
                    </pic:cNvPicPr>
                  </pic:nvPicPr>
                  <pic:blipFill>
                    <a:blip r:embed="rId10">
                      <a:extLst>
                        <a:ext uri="{28A0092B-C50C-407E-A947-70E740481C1C}">
                          <a14:useLocalDpi xmlns:a14="http://schemas.microsoft.com/office/drawing/2010/main" val="0"/>
                        </a:ext>
                      </a:extLst>
                    </a:blip>
                    <a:srcRect l="241" t="18086" b="21483"/>
                    <a:stretch>
                      <a:fillRect/>
                    </a:stretch>
                  </pic:blipFill>
                  <pic:spPr>
                    <a:xfrm>
                      <a:off x="0" y="0"/>
                      <a:ext cx="4014310" cy="3439495"/>
                    </a:xfrm>
                    <a:prstGeom prst="rect">
                      <a:avLst/>
                    </a:prstGeom>
                    <a:ln>
                      <a:noFill/>
                    </a:ln>
                  </pic:spPr>
                </pic:pic>
              </a:graphicData>
            </a:graphic>
          </wp:inline>
        </w:drawing>
      </w:r>
    </w:p>
    <w:p>
      <w:pPr>
        <w:jc w:val="center"/>
        <w:rPr>
          <w:sz w:val="24"/>
          <w:szCs w:val="21"/>
        </w:rPr>
      </w:pPr>
      <w:r>
        <w:rPr>
          <w:rFonts w:hint="eastAsia"/>
          <w:sz w:val="24"/>
          <w:szCs w:val="21"/>
        </w:rPr>
        <w:t>图</w:t>
      </w:r>
      <w:r>
        <w:rPr>
          <w:sz w:val="24"/>
          <w:szCs w:val="21"/>
        </w:rPr>
        <w:t xml:space="preserve">8-1 </w:t>
      </w:r>
      <w:r>
        <w:rPr>
          <w:rFonts w:hint="eastAsia"/>
          <w:sz w:val="24"/>
          <w:szCs w:val="21"/>
        </w:rPr>
        <w:t>集中仓库选址地块局部影像图（红线内为选址地块）</w:t>
      </w:r>
    </w:p>
    <w:p>
      <w:pPr>
        <w:pStyle w:val="4"/>
      </w:pPr>
      <w:bookmarkStart w:id="49" w:name="_Toc136353188"/>
      <w:r>
        <w:t xml:space="preserve">8.1.2 </w:t>
      </w:r>
      <w:r>
        <w:rPr>
          <w:rFonts w:hint="eastAsia"/>
        </w:rPr>
        <w:t>用地规划符合性</w:t>
      </w:r>
      <w:bookmarkEnd w:id="49"/>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根据《奉化区国土空间总体规划》，选址位于城镇开发边界以外，且不在生态保护红线范围内。</w:t>
      </w:r>
      <w:r>
        <w:rPr>
          <w:rFonts w:cs="Times New Roman"/>
          <w:snapToGrid w:val="0"/>
          <w:kern w:val="0"/>
          <w:szCs w:val="28"/>
        </w:rPr>
        <w:t>根据《奉化</w:t>
      </w:r>
      <w:r>
        <w:rPr>
          <w:rFonts w:hint="eastAsia" w:cs="Times New Roman"/>
          <w:snapToGrid w:val="0"/>
          <w:kern w:val="0"/>
          <w:szCs w:val="28"/>
        </w:rPr>
        <w:t>区土地利用总体规划图</w:t>
      </w:r>
      <w:r>
        <w:rPr>
          <w:rFonts w:cs="Times New Roman"/>
          <w:snapToGrid w:val="0"/>
          <w:kern w:val="0"/>
          <w:szCs w:val="28"/>
        </w:rPr>
        <w:t>》</w:t>
      </w:r>
      <w:r>
        <w:rPr>
          <w:rFonts w:hint="eastAsia" w:cs="Times New Roman"/>
          <w:snapToGrid w:val="0"/>
          <w:kern w:val="0"/>
          <w:szCs w:val="28"/>
        </w:rPr>
        <w:t>（2</w:t>
      </w:r>
      <w:r>
        <w:rPr>
          <w:rFonts w:cs="Times New Roman"/>
          <w:snapToGrid w:val="0"/>
          <w:kern w:val="0"/>
          <w:szCs w:val="28"/>
        </w:rPr>
        <w:t>014</w:t>
      </w:r>
      <w:r>
        <w:rPr>
          <w:rFonts w:hint="eastAsia" w:cs="Times New Roman"/>
          <w:snapToGrid w:val="0"/>
          <w:kern w:val="0"/>
          <w:szCs w:val="28"/>
        </w:rPr>
        <w:t>调整完善版）</w:t>
      </w:r>
      <w:r>
        <w:rPr>
          <w:rFonts w:cs="Times New Roman"/>
          <w:snapToGrid w:val="0"/>
          <w:kern w:val="0"/>
          <w:szCs w:val="28"/>
        </w:rPr>
        <w:t>，</w:t>
      </w:r>
      <w:r>
        <w:rPr>
          <w:rFonts w:hint="eastAsia" w:cs="Times New Roman"/>
          <w:snapToGrid w:val="0"/>
          <w:kern w:val="0"/>
          <w:szCs w:val="28"/>
        </w:rPr>
        <w:t>选址地块土地性质为林地</w:t>
      </w:r>
      <w:r>
        <w:rPr>
          <w:rFonts w:cs="Times New Roman"/>
          <w:snapToGrid w:val="0"/>
          <w:kern w:val="0"/>
          <w:szCs w:val="28"/>
        </w:rPr>
        <w:t>，</w:t>
      </w:r>
      <w:r>
        <w:rPr>
          <w:rFonts w:hint="eastAsia" w:cs="Times New Roman"/>
          <w:snapToGrid w:val="0"/>
          <w:kern w:val="0"/>
          <w:szCs w:val="28"/>
        </w:rPr>
        <w:t>实际以坡度很小的荒草地为主，现部分土地已平整用作临时堆场</w:t>
      </w:r>
      <w:r>
        <w:rPr>
          <w:rFonts w:cs="Times New Roman"/>
          <w:snapToGrid w:val="0"/>
          <w:kern w:val="0"/>
          <w:szCs w:val="28"/>
        </w:rPr>
        <w:t>。</w:t>
      </w:r>
      <w:r>
        <w:rPr>
          <w:rFonts w:hint="eastAsia" w:cs="Times New Roman"/>
          <w:snapToGrid w:val="0"/>
          <w:kern w:val="0"/>
          <w:szCs w:val="28"/>
        </w:rPr>
        <w:t>需将选址地块的土地规划性质调整为仓储用地，以适应建设需要。</w:t>
      </w:r>
    </w:p>
    <w:p>
      <w:pPr>
        <w:pStyle w:val="4"/>
      </w:pPr>
      <w:bookmarkStart w:id="50" w:name="_Toc136353189"/>
      <w:r>
        <w:t>8</w:t>
      </w:r>
      <w:r>
        <w:rPr>
          <w:rFonts w:hint="eastAsia"/>
        </w:rPr>
        <w:t>.</w:t>
      </w:r>
      <w:r>
        <w:t xml:space="preserve">1.3 </w:t>
      </w:r>
      <w:r>
        <w:rPr>
          <w:rFonts w:hint="eastAsia"/>
        </w:rPr>
        <w:t>选址符合性</w:t>
      </w:r>
      <w:bookmarkEnd w:id="50"/>
    </w:p>
    <w:p>
      <w:pPr>
        <w:ind w:firstLine="570"/>
      </w:pPr>
      <w:r>
        <w:rPr>
          <w:rFonts w:hint="eastAsia"/>
        </w:rPr>
        <w:t>选址南侧为乡道金许线，距离县道尚岭线约5</w:t>
      </w:r>
      <w:r>
        <w:t>00</w:t>
      </w:r>
      <w:r>
        <w:rPr>
          <w:rFonts w:hint="eastAsia"/>
        </w:rPr>
        <w:t>米，距离规划建设的西环路南延约3公里，距离省道甬临线约5公里，距离沈海高速奉化出口1</w:t>
      </w:r>
      <w:r>
        <w:t>2</w:t>
      </w:r>
      <w:r>
        <w:rPr>
          <w:rFonts w:hint="eastAsia"/>
        </w:rPr>
        <w:t>公里，为危险化学品运输提供了较好的对外交通条件。</w:t>
      </w:r>
    </w:p>
    <w:p>
      <w:pPr>
        <w:ind w:firstLine="570"/>
      </w:pPr>
      <w:r>
        <w:rPr>
          <w:rFonts w:hint="eastAsia"/>
        </w:rPr>
        <w:t>选址建设的集中仓库能够很好地辐射工业集聚区，为企业提供良好的危险化学品仓储服务配套。</w:t>
      </w:r>
    </w:p>
    <w:p>
      <w:pPr>
        <w:ind w:firstLine="570"/>
      </w:pPr>
      <w:r>
        <w:rPr>
          <w:rFonts w:hint="eastAsia"/>
        </w:rPr>
        <w:t>专用车辆能够通过奉化城区外围环线进行配送作业，为奉化主城区划定危险化学品车辆禁行区域创造条件。</w:t>
      </w:r>
    </w:p>
    <w:p>
      <w:pPr>
        <w:ind w:firstLine="570"/>
      </w:pPr>
      <w:r>
        <w:rPr>
          <w:rFonts w:hint="eastAsia"/>
        </w:rPr>
        <w:t>选址地块与附近村庄有山体相隔，对附近居民影响较小。选址地块北侧有一山塘，可兼作消防水源，外部安全条件良好。</w:t>
      </w:r>
    </w:p>
    <w:p>
      <w:pPr>
        <w:ind w:firstLine="570"/>
      </w:pPr>
      <w:r>
        <w:rPr>
          <w:rFonts w:hint="eastAsia"/>
        </w:rPr>
        <w:t>规划的城区消防站到达选址地块的时间不超过2</w:t>
      </w:r>
      <w:r>
        <w:t>0</w:t>
      </w:r>
      <w:r>
        <w:rPr>
          <w:rFonts w:hint="eastAsia"/>
        </w:rPr>
        <w:t>分钟，满足事故应急救援时间要求。</w:t>
      </w:r>
    </w:p>
    <w:p>
      <w:pPr>
        <w:pStyle w:val="4"/>
      </w:pPr>
      <w:bookmarkStart w:id="51" w:name="_Toc136353190"/>
      <w:r>
        <w:t xml:space="preserve">8.1.4 </w:t>
      </w:r>
      <w:r>
        <w:rPr>
          <w:rFonts w:hint="eastAsia"/>
        </w:rPr>
        <w:t>安全风险识别</w:t>
      </w:r>
      <w:bookmarkEnd w:id="51"/>
    </w:p>
    <w:p>
      <w:pPr>
        <w:overflowPunct w:val="0"/>
        <w:adjustRightInd w:val="0"/>
        <w:snapToGrid w:val="0"/>
        <w:spacing w:line="360" w:lineRule="auto"/>
        <w:ind w:firstLine="560" w:firstLineChars="200"/>
        <w:rPr>
          <w:rFonts w:cs="Times New Roman"/>
          <w:szCs w:val="28"/>
        </w:rPr>
      </w:pPr>
      <w:r>
        <w:rPr>
          <w:rFonts w:hint="eastAsia" w:cs="Times New Roman"/>
          <w:szCs w:val="28"/>
        </w:rPr>
        <w:t>（1）危险化学品按火灾危险性和其它性质分隔储存，分设甲类仓库（易燃液体储存量小于1</w:t>
      </w:r>
      <w:r>
        <w:rPr>
          <w:rFonts w:cs="Times New Roman"/>
          <w:szCs w:val="28"/>
        </w:rPr>
        <w:t>0</w:t>
      </w:r>
      <w:r>
        <w:rPr>
          <w:rFonts w:hint="eastAsia" w:cs="Times New Roman"/>
          <w:szCs w:val="28"/>
        </w:rPr>
        <w:t>吨）、乙类仓库（易燃固体小于1</w:t>
      </w:r>
      <w:r>
        <w:rPr>
          <w:rFonts w:cs="Times New Roman"/>
          <w:szCs w:val="28"/>
        </w:rPr>
        <w:t>00</w:t>
      </w:r>
      <w:r>
        <w:rPr>
          <w:rFonts w:hint="eastAsia" w:cs="Times New Roman"/>
          <w:szCs w:val="28"/>
        </w:rPr>
        <w:t>吨、易燃液体小于5</w:t>
      </w:r>
      <w:r>
        <w:rPr>
          <w:rFonts w:cs="Times New Roman"/>
          <w:szCs w:val="28"/>
        </w:rPr>
        <w:t>00</w:t>
      </w:r>
      <w:r>
        <w:rPr>
          <w:rFonts w:hint="eastAsia" w:cs="Times New Roman"/>
          <w:szCs w:val="28"/>
        </w:rPr>
        <w:t>吨）和丙类仓库（易燃液体小于2</w:t>
      </w:r>
      <w:r>
        <w:rPr>
          <w:rFonts w:cs="Times New Roman"/>
          <w:szCs w:val="28"/>
        </w:rPr>
        <w:t>500</w:t>
      </w:r>
      <w:r>
        <w:rPr>
          <w:rFonts w:hint="eastAsia" w:cs="Times New Roman"/>
          <w:szCs w:val="28"/>
        </w:rPr>
        <w:t>吨），选址地块北侧有架空电力线路（</w:t>
      </w:r>
      <w:r>
        <w:rPr>
          <w:rFonts w:cs="Times New Roman"/>
          <w:szCs w:val="28"/>
        </w:rPr>
        <w:t>35</w:t>
      </w:r>
      <w:r>
        <w:rPr>
          <w:rFonts w:hint="eastAsia" w:cs="Times New Roman"/>
          <w:szCs w:val="28"/>
        </w:rPr>
        <w:t>k</w:t>
      </w:r>
      <w:r>
        <w:rPr>
          <w:rFonts w:cs="Times New Roman"/>
          <w:szCs w:val="28"/>
        </w:rPr>
        <w:t>V</w:t>
      </w:r>
      <w:r>
        <w:rPr>
          <w:rFonts w:hint="eastAsia" w:cs="Times New Roman"/>
          <w:szCs w:val="28"/>
        </w:rPr>
        <w:t>）、南侧有公路（乡道金许线），西侧为山林，东侧为农田，距西南侧村庄居民点约2</w:t>
      </w:r>
      <w:r>
        <w:rPr>
          <w:rFonts w:cs="Times New Roman"/>
          <w:szCs w:val="28"/>
        </w:rPr>
        <w:t>00</w:t>
      </w:r>
      <w:r>
        <w:rPr>
          <w:rFonts w:hint="eastAsia" w:cs="Times New Roman"/>
          <w:szCs w:val="28"/>
        </w:rPr>
        <w:t>米，距东南侧的工厂约2</w:t>
      </w:r>
      <w:r>
        <w:rPr>
          <w:rFonts w:cs="Times New Roman"/>
          <w:szCs w:val="28"/>
        </w:rPr>
        <w:t>00</w:t>
      </w:r>
      <w:r>
        <w:rPr>
          <w:rFonts w:hint="eastAsia" w:cs="Times New Roman"/>
          <w:szCs w:val="28"/>
        </w:rPr>
        <w:t>米，需根据相关法规和标准要求，保持一定的防护距离或防火间距。</w:t>
      </w:r>
    </w:p>
    <w:p>
      <w:pPr>
        <w:overflowPunct w:val="0"/>
        <w:adjustRightInd w:val="0"/>
        <w:snapToGrid w:val="0"/>
        <w:spacing w:line="360" w:lineRule="auto"/>
        <w:ind w:firstLine="560" w:firstLineChars="200"/>
        <w:rPr>
          <w:rFonts w:cs="Times New Roman"/>
          <w:szCs w:val="28"/>
        </w:rPr>
      </w:pPr>
      <w:r>
        <w:rPr>
          <w:rFonts w:hint="eastAsia" w:cs="Times New Roman"/>
          <w:szCs w:val="28"/>
        </w:rPr>
        <w:t>（2）选址地块与已建的金甬铁路直线距离约2公里，且中间有山体相隔，集中仓库对金甬铁路不构成安全风险；根据线路走向规划方案，规划的甬金高速铁路以隧道形式通过选址地块北面的山体，与集中仓库的距离较远，能满足高速铁路的安全防护距离要求。</w:t>
      </w:r>
    </w:p>
    <w:p>
      <w:pPr>
        <w:overflowPunct w:val="0"/>
        <w:adjustRightInd w:val="0"/>
        <w:snapToGrid w:val="0"/>
        <w:spacing w:line="360" w:lineRule="auto"/>
        <w:ind w:firstLine="560" w:firstLineChars="200"/>
        <w:rPr>
          <w:rFonts w:cs="Times New Roman"/>
          <w:szCs w:val="28"/>
        </w:rPr>
      </w:pPr>
      <w:r>
        <w:rPr>
          <w:rFonts w:hint="eastAsia" w:cs="Times New Roman"/>
          <w:szCs w:val="28"/>
        </w:rPr>
        <w:t>（3）选址地块与现有的烟花爆竹仓库直线距离约1.</w:t>
      </w:r>
      <w:r>
        <w:rPr>
          <w:rFonts w:cs="Times New Roman"/>
          <w:szCs w:val="28"/>
        </w:rPr>
        <w:t>5</w:t>
      </w:r>
      <w:r>
        <w:rPr>
          <w:rFonts w:hint="eastAsia" w:cs="Times New Roman"/>
          <w:szCs w:val="28"/>
        </w:rPr>
        <w:t>公里，且中间有绵延的山体相隔，两者之间不存在相互影响。</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zCs w:val="28"/>
        </w:rPr>
        <w:t>（</w:t>
      </w:r>
      <w:r>
        <w:rPr>
          <w:rFonts w:cs="Times New Roman"/>
          <w:szCs w:val="28"/>
        </w:rPr>
        <w:t>4</w:t>
      </w:r>
      <w:r>
        <w:rPr>
          <w:rFonts w:hint="eastAsia" w:cs="Times New Roman"/>
          <w:szCs w:val="28"/>
        </w:rPr>
        <w:t>）选址相邻的乡道金许线达岙岭至</w:t>
      </w:r>
      <w:r>
        <w:rPr>
          <w:rFonts w:hint="eastAsia" w:cs="Times New Roman"/>
          <w:snapToGrid w:val="0"/>
          <w:kern w:val="0"/>
          <w:szCs w:val="28"/>
        </w:rPr>
        <w:t>县道尚岭线交叉口为长下坡路段，</w:t>
      </w:r>
      <w:r>
        <w:rPr>
          <w:rFonts w:hint="eastAsia" w:cs="Times New Roman"/>
          <w:szCs w:val="28"/>
        </w:rPr>
        <w:t>金许线与</w:t>
      </w:r>
      <w:r>
        <w:rPr>
          <w:rFonts w:hint="eastAsia" w:cs="Times New Roman"/>
          <w:snapToGrid w:val="0"/>
          <w:kern w:val="0"/>
          <w:szCs w:val="28"/>
        </w:rPr>
        <w:t>尚岭线交叉处为三岔口，视距不佳，存在一定交通安全隐患。</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5</w:t>
      </w:r>
      <w:r>
        <w:rPr>
          <w:rFonts w:hint="eastAsia" w:cs="Times New Roman"/>
          <w:snapToGrid w:val="0"/>
          <w:kern w:val="0"/>
          <w:szCs w:val="28"/>
        </w:rPr>
        <w:t>）集中仓库选址于山岙间，邻近山坡，可能存在山洪、地质灾害的不利影响；奉化属雷电多发地区，要采取防雷电措施。</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6</w:t>
      </w:r>
      <w:r>
        <w:rPr>
          <w:rFonts w:hint="eastAsia" w:cs="Times New Roman"/>
          <w:snapToGrid w:val="0"/>
          <w:kern w:val="0"/>
          <w:szCs w:val="28"/>
        </w:rPr>
        <w:t>）拟储存的油漆稀释剂等危险化学品挥发性大，易燃易爆，危险性较大，需采取泄漏检测报警、通风、电气防爆等安全措施。</w:t>
      </w:r>
    </w:p>
    <w:p>
      <w:pPr>
        <w:overflowPunct w:val="0"/>
        <w:adjustRightInd w:val="0"/>
        <w:snapToGrid w:val="0"/>
        <w:spacing w:line="360" w:lineRule="auto"/>
        <w:ind w:firstLine="560" w:firstLineChars="200"/>
        <w:rPr>
          <w:rFonts w:cs="Times New Roman"/>
          <w:szCs w:val="28"/>
        </w:rPr>
      </w:pPr>
      <w:r>
        <w:rPr>
          <w:rFonts w:hint="eastAsia" w:cs="Times New Roman"/>
          <w:szCs w:val="28"/>
        </w:rPr>
        <w:t>（</w:t>
      </w:r>
      <w:r>
        <w:rPr>
          <w:rFonts w:cs="Times New Roman"/>
          <w:szCs w:val="28"/>
        </w:rPr>
        <w:t>7</w:t>
      </w:r>
      <w:r>
        <w:rPr>
          <w:rFonts w:hint="eastAsia" w:cs="Times New Roman"/>
          <w:szCs w:val="28"/>
        </w:rPr>
        <w:t>）</w:t>
      </w:r>
      <w:r>
        <w:rPr>
          <w:rFonts w:hint="eastAsia" w:cs="Times New Roman"/>
          <w:snapToGrid w:val="0"/>
          <w:kern w:val="0"/>
          <w:szCs w:val="28"/>
        </w:rPr>
        <w:t>集中仓库储存的危险化学品如果失窃，可能被不法分子利用，需做好安全保卫工作。</w:t>
      </w:r>
    </w:p>
    <w:p>
      <w:pPr>
        <w:overflowPunct w:val="0"/>
        <w:adjustRightInd w:val="0"/>
        <w:snapToGrid w:val="0"/>
        <w:spacing w:line="360" w:lineRule="auto"/>
        <w:ind w:firstLine="560" w:firstLineChars="200"/>
        <w:rPr>
          <w:rFonts w:cs="Times New Roman"/>
          <w:szCs w:val="28"/>
        </w:rPr>
      </w:pPr>
      <w:r>
        <w:rPr>
          <w:rFonts w:hint="eastAsia" w:cs="Times New Roman"/>
          <w:szCs w:val="28"/>
        </w:rPr>
        <w:t>（</w:t>
      </w:r>
      <w:r>
        <w:rPr>
          <w:rFonts w:cs="Times New Roman"/>
          <w:szCs w:val="28"/>
        </w:rPr>
        <w:t>8</w:t>
      </w:r>
      <w:r>
        <w:rPr>
          <w:rFonts w:hint="eastAsia" w:cs="Times New Roman"/>
          <w:szCs w:val="28"/>
        </w:rPr>
        <w:t>）</w:t>
      </w:r>
      <w:r>
        <w:rPr>
          <w:rFonts w:hint="eastAsia" w:cs="Times New Roman"/>
          <w:snapToGrid w:val="0"/>
          <w:kern w:val="0"/>
          <w:szCs w:val="28"/>
        </w:rPr>
        <w:t>集中仓库的</w:t>
      </w:r>
      <w:r>
        <w:rPr>
          <w:rFonts w:hint="eastAsia" w:cs="Times New Roman"/>
          <w:szCs w:val="28"/>
        </w:rPr>
        <w:t>安全条件可能发生变化，要定期进行安全评价，确保仓库安全条件满足法律法规、标准规范的要求。</w:t>
      </w:r>
    </w:p>
    <w:p>
      <w:pPr>
        <w:pStyle w:val="4"/>
      </w:pPr>
      <w:bookmarkStart w:id="52" w:name="_Toc136353191"/>
      <w:r>
        <w:t xml:space="preserve">8.1.5 </w:t>
      </w:r>
      <w:r>
        <w:rPr>
          <w:rFonts w:hint="eastAsia"/>
        </w:rPr>
        <w:t>风险管控措施</w:t>
      </w:r>
      <w:bookmarkEnd w:id="52"/>
    </w:p>
    <w:p>
      <w:pPr>
        <w:overflowPunct w:val="0"/>
        <w:adjustRightInd w:val="0"/>
        <w:snapToGrid w:val="0"/>
        <w:spacing w:line="360" w:lineRule="auto"/>
        <w:ind w:firstLine="560"/>
        <w:rPr>
          <w:rFonts w:cs="Times New Roman"/>
          <w:snapToGrid w:val="0"/>
          <w:kern w:val="0"/>
          <w:szCs w:val="28"/>
        </w:rPr>
      </w:pPr>
      <w:r>
        <w:rPr>
          <w:rFonts w:hint="eastAsia" w:cs="Times New Roman"/>
          <w:snapToGrid w:val="0"/>
          <w:kern w:val="0"/>
          <w:szCs w:val="28"/>
        </w:rPr>
        <w:t>（1）依据相关法规和标准规范要求，集中仓库要</w:t>
      </w:r>
      <w:r>
        <w:rPr>
          <w:rFonts w:cs="Times New Roman"/>
          <w:snapToGrid w:val="0"/>
          <w:kern w:val="0"/>
          <w:szCs w:val="28"/>
        </w:rPr>
        <w:t>与</w:t>
      </w:r>
      <w:r>
        <w:rPr>
          <w:rFonts w:hint="eastAsia" w:cs="Times New Roman"/>
          <w:snapToGrid w:val="0"/>
          <w:kern w:val="0"/>
          <w:szCs w:val="28"/>
        </w:rPr>
        <w:t>规划的高速铁路、现状架空高压电力线路、</w:t>
      </w:r>
      <w:r>
        <w:rPr>
          <w:rFonts w:cs="Times New Roman"/>
          <w:snapToGrid w:val="0"/>
          <w:kern w:val="0"/>
          <w:szCs w:val="28"/>
        </w:rPr>
        <w:t>周边</w:t>
      </w:r>
      <w:r>
        <w:rPr>
          <w:rFonts w:hint="eastAsia" w:cs="Times New Roman"/>
          <w:snapToGrid w:val="0"/>
          <w:kern w:val="0"/>
          <w:szCs w:val="28"/>
        </w:rPr>
        <w:t>村庄和工厂</w:t>
      </w:r>
      <w:r>
        <w:rPr>
          <w:rFonts w:cs="Times New Roman"/>
          <w:snapToGrid w:val="0"/>
          <w:kern w:val="0"/>
          <w:szCs w:val="28"/>
        </w:rPr>
        <w:t>、</w:t>
      </w:r>
      <w:r>
        <w:rPr>
          <w:rFonts w:hint="eastAsia" w:cs="Times New Roman"/>
          <w:snapToGrid w:val="0"/>
          <w:kern w:val="0"/>
          <w:szCs w:val="28"/>
        </w:rPr>
        <w:t>公路和山林</w:t>
      </w:r>
      <w:r>
        <w:rPr>
          <w:rFonts w:cs="Times New Roman"/>
          <w:snapToGrid w:val="0"/>
          <w:kern w:val="0"/>
          <w:szCs w:val="28"/>
        </w:rPr>
        <w:t>等防护目标</w:t>
      </w:r>
      <w:r>
        <w:rPr>
          <w:rFonts w:hint="eastAsia" w:cs="Times New Roman"/>
          <w:snapToGrid w:val="0"/>
          <w:kern w:val="0"/>
          <w:szCs w:val="28"/>
        </w:rPr>
        <w:t>保持</w:t>
      </w:r>
      <w:r>
        <w:rPr>
          <w:rFonts w:cs="Times New Roman"/>
          <w:snapToGrid w:val="0"/>
          <w:kern w:val="0"/>
          <w:szCs w:val="28"/>
        </w:rPr>
        <w:t>足够的安全防护距离。</w:t>
      </w:r>
      <w:r>
        <w:rPr>
          <w:rFonts w:hint="eastAsia" w:cs="Times New Roman"/>
          <w:snapToGrid w:val="0"/>
          <w:kern w:val="0"/>
          <w:szCs w:val="28"/>
        </w:rPr>
        <w:t>为满足安全防护距离的要求，选址地块东侧的农田保持现状，不允许建设住宅、工厂或其他影响集中仓库安全条件的建构筑物。根据《仓库防火安全管理规则》，库区以及周围5</w:t>
      </w:r>
      <w:r>
        <w:rPr>
          <w:rFonts w:cs="Times New Roman"/>
          <w:snapToGrid w:val="0"/>
          <w:kern w:val="0"/>
          <w:szCs w:val="28"/>
        </w:rPr>
        <w:t>0</w:t>
      </w:r>
      <w:r>
        <w:rPr>
          <w:rFonts w:hint="eastAsia" w:cs="Times New Roman"/>
          <w:snapToGrid w:val="0"/>
          <w:kern w:val="0"/>
          <w:szCs w:val="28"/>
        </w:rPr>
        <w:t>米内，严禁燃放烟花爆竹。储存液体的危险化学品库和装卸区域应设置防液体流散措施，防止意外泄漏污染附近农田和环境。</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（2）集中仓库与甬临线之间的县道尚岭线和乡道金许线部分路段</w:t>
      </w:r>
      <w:r>
        <w:rPr>
          <w:rFonts w:cs="Times New Roman"/>
          <w:snapToGrid w:val="0"/>
          <w:kern w:val="0"/>
          <w:szCs w:val="28"/>
        </w:rPr>
        <w:t>实施“专线”管理，提升道路安全条件，改造提升道路交通标志标线、安全护栏、智能监控设施等道路交通安全设施。</w:t>
      </w:r>
    </w:p>
    <w:p>
      <w:pPr>
        <w:overflowPunct w:val="0"/>
        <w:adjustRightInd w:val="0"/>
        <w:snapToGrid w:val="0"/>
        <w:spacing w:line="360" w:lineRule="auto"/>
        <w:ind w:firstLine="560" w:firstLineChars="200"/>
        <w:rPr>
          <w:rFonts w:cs="Times New Roman"/>
          <w:snapToGrid w:val="0"/>
          <w:kern w:val="0"/>
          <w:szCs w:val="28"/>
        </w:rPr>
      </w:pPr>
      <w:r>
        <w:rPr>
          <w:rFonts w:hint="eastAsia"/>
          <w:snapToGrid w:val="0"/>
        </w:rPr>
        <w:t>（3）</w:t>
      </w:r>
      <w:r>
        <w:rPr>
          <w:rFonts w:cs="Times New Roman"/>
          <w:snapToGrid w:val="0"/>
          <w:kern w:val="0"/>
          <w:szCs w:val="28"/>
        </w:rPr>
        <w:t>按相关标准进行</w:t>
      </w:r>
      <w:r>
        <w:rPr>
          <w:rFonts w:hint="eastAsia" w:cs="Times New Roman"/>
          <w:snapToGrid w:val="0"/>
          <w:kern w:val="0"/>
          <w:szCs w:val="28"/>
        </w:rPr>
        <w:t>防火防爆、</w:t>
      </w:r>
      <w:r>
        <w:rPr>
          <w:rFonts w:cs="Times New Roman"/>
          <w:snapToGrid w:val="0"/>
          <w:kern w:val="0"/>
          <w:szCs w:val="28"/>
        </w:rPr>
        <w:t>抗震、防雷电等设计，并严格按照设计施工。</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（4）为防治地质灾害，应对挖填方边坡进行加强支护处理，并完善截排水措施。</w:t>
      </w:r>
    </w:p>
    <w:p>
      <w:pPr>
        <w:overflowPunct w:val="0"/>
        <w:adjustRightInd w:val="0"/>
        <w:snapToGrid w:val="0"/>
        <w:spacing w:line="360" w:lineRule="auto"/>
        <w:ind w:firstLine="560" w:firstLineChars="200"/>
        <w:rPr>
          <w:rFonts w:cs="Times New Roman"/>
          <w:szCs w:val="28"/>
        </w:rPr>
      </w:pPr>
      <w:r>
        <w:rPr>
          <w:rFonts w:cs="Times New Roman"/>
          <w:szCs w:val="28"/>
        </w:rPr>
        <w:t>（5）按要求设计并安装可燃有毒气体泄漏检测报警系统</w:t>
      </w:r>
      <w:r>
        <w:rPr>
          <w:rFonts w:hint="eastAsia" w:cs="Times New Roman"/>
          <w:szCs w:val="28"/>
        </w:rPr>
        <w:t>、通风系统、</w:t>
      </w:r>
      <w:r>
        <w:rPr>
          <w:rFonts w:cs="Times New Roman"/>
          <w:szCs w:val="28"/>
        </w:rPr>
        <w:t>火灾报警系统</w:t>
      </w:r>
      <w:r>
        <w:rPr>
          <w:rFonts w:hint="eastAsia" w:cs="Times New Roman"/>
          <w:szCs w:val="28"/>
        </w:rPr>
        <w:t>和环保设备</w:t>
      </w:r>
      <w:r>
        <w:rPr>
          <w:rFonts w:cs="Times New Roman"/>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6</w:t>
      </w:r>
      <w:r>
        <w:rPr>
          <w:rFonts w:hint="eastAsia" w:cs="Times New Roman"/>
          <w:snapToGrid w:val="0"/>
          <w:kern w:val="0"/>
          <w:szCs w:val="28"/>
        </w:rPr>
        <w:t>）建立环保制度和意外泄露应急预案，储备必要的应急处理物资，确保意外泄露得到有效处置，不污染周边环境。</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7</w:t>
      </w:r>
      <w:r>
        <w:rPr>
          <w:rFonts w:hint="eastAsia" w:cs="Times New Roman"/>
          <w:snapToGrid w:val="0"/>
          <w:kern w:val="0"/>
          <w:szCs w:val="28"/>
        </w:rPr>
        <w:t>）</w:t>
      </w:r>
      <w:r>
        <w:rPr>
          <w:rFonts w:cs="Times New Roman"/>
          <w:snapToGrid w:val="0"/>
          <w:kern w:val="0"/>
          <w:szCs w:val="28"/>
        </w:rPr>
        <w:t>配置必要监控和预警设施，建立安全保卫制度，完善防外来侵袭措施。</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（8）</w:t>
      </w:r>
      <w:r>
        <w:rPr>
          <w:rFonts w:hint="eastAsia" w:cs="Times New Roman"/>
          <w:snapToGrid w:val="0"/>
          <w:kern w:val="0"/>
          <w:szCs w:val="28"/>
        </w:rPr>
        <w:t>按照安全设施“三同时”的要求，由资质单位进行建设项目评价、设计、施工</w:t>
      </w:r>
      <w:r>
        <w:rPr>
          <w:rFonts w:cs="Times New Roman"/>
          <w:snapToGrid w:val="0"/>
          <w:kern w:val="0"/>
          <w:szCs w:val="28"/>
        </w:rPr>
        <w:t>。</w:t>
      </w:r>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只要严格按相关标准规范建设，危险化学品集中仓库能满足安全技术要求。</w:t>
      </w:r>
    </w:p>
    <w:p>
      <w:pPr>
        <w:overflowPunct w:val="0"/>
        <w:adjustRightInd w:val="0"/>
        <w:snapToGrid w:val="0"/>
        <w:spacing w:line="360" w:lineRule="auto"/>
        <w:ind w:firstLine="560"/>
        <w:jc w:val="center"/>
        <w:rPr>
          <w:rFonts w:cs="Times New Roman"/>
          <w:snapToGrid w:val="0"/>
          <w:kern w:val="0"/>
          <w:sz w:val="24"/>
          <w:szCs w:val="24"/>
        </w:rPr>
      </w:pPr>
      <w:r>
        <w:rPr>
          <w:rFonts w:hint="eastAsia" w:cs="Times New Roman"/>
          <w:snapToGrid w:val="0"/>
          <w:kern w:val="0"/>
          <w:sz w:val="24"/>
          <w:szCs w:val="24"/>
        </w:rPr>
        <w:t>表8</w:t>
      </w:r>
      <w:r>
        <w:rPr>
          <w:rFonts w:cs="Times New Roman"/>
          <w:snapToGrid w:val="0"/>
          <w:kern w:val="0"/>
          <w:sz w:val="24"/>
          <w:szCs w:val="24"/>
        </w:rPr>
        <w:t xml:space="preserve">-1 </w:t>
      </w:r>
      <w:r>
        <w:rPr>
          <w:rFonts w:hint="eastAsia" w:cs="Times New Roman"/>
          <w:snapToGrid w:val="0"/>
          <w:kern w:val="0"/>
          <w:sz w:val="24"/>
          <w:szCs w:val="24"/>
        </w:rPr>
        <w:t>集中仓库储存场所与周边防护目标的安全防护距离</w:t>
      </w:r>
    </w:p>
    <w:tbl>
      <w:tblPr>
        <w:tblStyle w:val="1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835"/>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shd w:val="clear" w:color="auto" w:fill="D8D8D8" w:themeFill="background1" w:themeFillShade="D9"/>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防护目标</w:t>
            </w:r>
          </w:p>
        </w:tc>
        <w:tc>
          <w:tcPr>
            <w:tcW w:w="2835" w:type="dxa"/>
            <w:shd w:val="clear" w:color="auto" w:fill="D8D8D8" w:themeFill="background1" w:themeFillShade="D9"/>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安全防护距离/防火间距</w:t>
            </w:r>
          </w:p>
        </w:tc>
        <w:tc>
          <w:tcPr>
            <w:tcW w:w="3260" w:type="dxa"/>
            <w:shd w:val="clear" w:color="auto" w:fill="D8D8D8" w:themeFill="background1" w:themeFillShade="D9"/>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甬金高速铁路（规划）</w:t>
            </w:r>
          </w:p>
        </w:tc>
        <w:tc>
          <w:tcPr>
            <w:tcW w:w="283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5</w:t>
            </w:r>
            <w:r>
              <w:rPr>
                <w:rFonts w:cs="Times New Roman"/>
                <w:snapToGrid w:val="0"/>
                <w:kern w:val="0"/>
                <w:sz w:val="24"/>
                <w:szCs w:val="24"/>
              </w:rPr>
              <w:t>0</w:t>
            </w:r>
            <w:r>
              <w:rPr>
                <w:rFonts w:hint="eastAsia" w:cs="Times New Roman"/>
                <w:snapToGrid w:val="0"/>
                <w:kern w:val="0"/>
                <w:sz w:val="24"/>
                <w:szCs w:val="24"/>
              </w:rPr>
              <w:t>米</w:t>
            </w:r>
          </w:p>
        </w:tc>
        <w:tc>
          <w:tcPr>
            <w:tcW w:w="3260"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《铁路工程设计防火规范》</w:t>
            </w:r>
          </w:p>
          <w:p>
            <w:pPr>
              <w:overflowPunct w:val="0"/>
              <w:adjustRightInd w:val="0"/>
              <w:snapToGrid w:val="0"/>
              <w:jc w:val="center"/>
              <w:rPr>
                <w:rFonts w:cs="Times New Roman"/>
                <w:snapToGrid w:val="0"/>
                <w:kern w:val="0"/>
                <w:sz w:val="24"/>
                <w:szCs w:val="24"/>
              </w:rPr>
            </w:pPr>
            <w:r>
              <w:rPr>
                <w:rFonts w:cs="Times New Roman"/>
                <w:snapToGrid w:val="0"/>
                <w:kern w:val="0"/>
                <w:sz w:val="24"/>
                <w:szCs w:val="24"/>
              </w:rPr>
              <w:t>TB 10063-2016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架空电力线路（3</w:t>
            </w:r>
            <w:r>
              <w:rPr>
                <w:rFonts w:cs="Times New Roman"/>
                <w:snapToGrid w:val="0"/>
                <w:kern w:val="0"/>
                <w:sz w:val="24"/>
                <w:szCs w:val="24"/>
              </w:rPr>
              <w:t>5</w:t>
            </w:r>
            <w:r>
              <w:rPr>
                <w:rFonts w:hint="eastAsia" w:cs="Times New Roman"/>
                <w:snapToGrid w:val="0"/>
                <w:kern w:val="0"/>
                <w:sz w:val="24"/>
                <w:szCs w:val="24"/>
              </w:rPr>
              <w:t>k</w:t>
            </w:r>
            <w:r>
              <w:rPr>
                <w:rFonts w:cs="Times New Roman"/>
                <w:snapToGrid w:val="0"/>
                <w:kern w:val="0"/>
                <w:sz w:val="24"/>
                <w:szCs w:val="24"/>
              </w:rPr>
              <w:t>V</w:t>
            </w:r>
            <w:r>
              <w:rPr>
                <w:rFonts w:hint="eastAsia" w:cs="Times New Roman"/>
                <w:snapToGrid w:val="0"/>
                <w:kern w:val="0"/>
                <w:sz w:val="24"/>
                <w:szCs w:val="24"/>
              </w:rPr>
              <w:t>楼尚3</w:t>
            </w:r>
            <w:r>
              <w:rPr>
                <w:rFonts w:cs="Times New Roman"/>
                <w:snapToGrid w:val="0"/>
                <w:kern w:val="0"/>
                <w:sz w:val="24"/>
                <w:szCs w:val="24"/>
              </w:rPr>
              <w:t>4C3</w:t>
            </w:r>
            <w:r>
              <w:rPr>
                <w:rFonts w:hint="eastAsia" w:cs="Times New Roman"/>
                <w:snapToGrid w:val="0"/>
                <w:kern w:val="0"/>
                <w:sz w:val="24"/>
                <w:szCs w:val="24"/>
              </w:rPr>
              <w:t>线和锦泰3</w:t>
            </w:r>
            <w:r>
              <w:rPr>
                <w:rFonts w:cs="Times New Roman"/>
                <w:snapToGrid w:val="0"/>
                <w:kern w:val="0"/>
                <w:sz w:val="24"/>
                <w:szCs w:val="24"/>
              </w:rPr>
              <w:t>4C1</w:t>
            </w:r>
            <w:r>
              <w:rPr>
                <w:rFonts w:hint="eastAsia" w:cs="Times New Roman"/>
                <w:snapToGrid w:val="0"/>
                <w:kern w:val="0"/>
                <w:sz w:val="24"/>
                <w:szCs w:val="24"/>
              </w:rPr>
              <w:t>线）</w:t>
            </w:r>
          </w:p>
        </w:tc>
        <w:tc>
          <w:tcPr>
            <w:tcW w:w="283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电塔高度的1.</w:t>
            </w:r>
            <w:r>
              <w:rPr>
                <w:rFonts w:cs="Times New Roman"/>
                <w:snapToGrid w:val="0"/>
                <w:kern w:val="0"/>
                <w:sz w:val="24"/>
                <w:szCs w:val="24"/>
              </w:rPr>
              <w:t>5</w:t>
            </w:r>
            <w:r>
              <w:rPr>
                <w:rFonts w:hint="eastAsia" w:cs="Times New Roman"/>
                <w:snapToGrid w:val="0"/>
                <w:kern w:val="0"/>
                <w:sz w:val="24"/>
                <w:szCs w:val="24"/>
              </w:rPr>
              <w:t>倍</w:t>
            </w:r>
          </w:p>
        </w:tc>
        <w:tc>
          <w:tcPr>
            <w:tcW w:w="3260"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《电力设施保护条例》</w:t>
            </w:r>
          </w:p>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《建筑防火通用规范》</w:t>
            </w:r>
          </w:p>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GB 55037-2022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周边村庄和工厂</w:t>
            </w:r>
          </w:p>
        </w:tc>
        <w:tc>
          <w:tcPr>
            <w:tcW w:w="283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5</w:t>
            </w:r>
            <w:r>
              <w:rPr>
                <w:rFonts w:cs="Times New Roman"/>
                <w:snapToGrid w:val="0"/>
                <w:kern w:val="0"/>
                <w:sz w:val="24"/>
                <w:szCs w:val="24"/>
              </w:rPr>
              <w:t>0</w:t>
            </w:r>
            <w:r>
              <w:rPr>
                <w:rFonts w:hint="eastAsia" w:cs="Times New Roman"/>
                <w:snapToGrid w:val="0"/>
                <w:kern w:val="0"/>
                <w:sz w:val="24"/>
                <w:szCs w:val="24"/>
              </w:rPr>
              <w:t>米</w:t>
            </w:r>
          </w:p>
        </w:tc>
        <w:tc>
          <w:tcPr>
            <w:tcW w:w="3260"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《建筑防火通用规范》</w:t>
            </w:r>
          </w:p>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GB 55037-2022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乡道金许线</w:t>
            </w:r>
          </w:p>
        </w:tc>
        <w:tc>
          <w:tcPr>
            <w:tcW w:w="283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1</w:t>
            </w:r>
            <w:r>
              <w:rPr>
                <w:rFonts w:cs="Times New Roman"/>
                <w:snapToGrid w:val="0"/>
                <w:kern w:val="0"/>
                <w:sz w:val="24"/>
                <w:szCs w:val="24"/>
              </w:rPr>
              <w:t>00</w:t>
            </w:r>
            <w:r>
              <w:rPr>
                <w:rFonts w:hint="eastAsia" w:cs="Times New Roman"/>
                <w:snapToGrid w:val="0"/>
                <w:kern w:val="0"/>
                <w:sz w:val="24"/>
                <w:szCs w:val="24"/>
              </w:rPr>
              <w:t>米</w:t>
            </w:r>
          </w:p>
        </w:tc>
        <w:tc>
          <w:tcPr>
            <w:tcW w:w="3260"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《公路安全保护条例》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周边山林</w:t>
            </w:r>
          </w:p>
        </w:tc>
        <w:tc>
          <w:tcPr>
            <w:tcW w:w="2835"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3</w:t>
            </w:r>
            <w:r>
              <w:rPr>
                <w:rFonts w:cs="Times New Roman"/>
                <w:snapToGrid w:val="0"/>
                <w:kern w:val="0"/>
                <w:sz w:val="24"/>
                <w:szCs w:val="24"/>
              </w:rPr>
              <w:t>0</w:t>
            </w:r>
            <w:r>
              <w:rPr>
                <w:rFonts w:hint="eastAsia" w:cs="Times New Roman"/>
                <w:snapToGrid w:val="0"/>
                <w:kern w:val="0"/>
                <w:sz w:val="24"/>
                <w:szCs w:val="24"/>
              </w:rPr>
              <w:t>米</w:t>
            </w:r>
          </w:p>
        </w:tc>
        <w:tc>
          <w:tcPr>
            <w:tcW w:w="3260" w:type="dxa"/>
            <w:vAlign w:val="center"/>
          </w:tcPr>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《森林防火工程技术标准》L</w:t>
            </w:r>
            <w:r>
              <w:rPr>
                <w:rFonts w:cs="Times New Roman"/>
                <w:snapToGrid w:val="0"/>
                <w:kern w:val="0"/>
                <w:sz w:val="24"/>
                <w:szCs w:val="24"/>
              </w:rPr>
              <w:t>YJ 127-91</w:t>
            </w:r>
          </w:p>
          <w:p>
            <w:pPr>
              <w:overflowPunct w:val="0"/>
              <w:adjustRightInd w:val="0"/>
              <w:snapToGrid w:val="0"/>
              <w:jc w:val="center"/>
              <w:rPr>
                <w:rFonts w:cs="Times New Roman"/>
                <w:snapToGrid w:val="0"/>
                <w:kern w:val="0"/>
                <w:sz w:val="24"/>
                <w:szCs w:val="24"/>
              </w:rPr>
            </w:pPr>
            <w:r>
              <w:rPr>
                <w:rFonts w:hint="eastAsia" w:cs="Times New Roman"/>
                <w:snapToGrid w:val="0"/>
                <w:kern w:val="0"/>
                <w:sz w:val="24"/>
                <w:szCs w:val="24"/>
              </w:rPr>
              <w:t>《林火阻隔系统建设标准》L</w:t>
            </w:r>
            <w:r>
              <w:rPr>
                <w:rFonts w:cs="Times New Roman"/>
                <w:snapToGrid w:val="0"/>
                <w:kern w:val="0"/>
                <w:sz w:val="24"/>
                <w:szCs w:val="24"/>
              </w:rPr>
              <w:t>Y/T 5007-2014</w:t>
            </w:r>
          </w:p>
        </w:tc>
      </w:tr>
    </w:tbl>
    <w:p>
      <w:pPr>
        <w:overflowPunct w:val="0"/>
        <w:adjustRightInd w:val="0"/>
        <w:snapToGrid w:val="0"/>
        <w:spacing w:line="360" w:lineRule="auto"/>
        <w:rPr>
          <w:rFonts w:cs="Times New Roman"/>
          <w:snapToGrid w:val="0"/>
          <w:kern w:val="0"/>
          <w:szCs w:val="28"/>
        </w:rPr>
      </w:pPr>
    </w:p>
    <w:p>
      <w:pPr>
        <w:pStyle w:val="3"/>
        <w:spacing w:after="156"/>
      </w:pPr>
      <w:bookmarkStart w:id="53" w:name="_Toc136353192"/>
      <w:r>
        <w:t xml:space="preserve">8.2 </w:t>
      </w:r>
      <w:r>
        <w:rPr>
          <w:rFonts w:hint="eastAsia"/>
        </w:rPr>
        <w:t>循环经济园区危险化学品储存设施建设工程</w:t>
      </w:r>
      <w:bookmarkEnd w:id="53"/>
    </w:p>
    <w:p>
      <w:pPr>
        <w:pStyle w:val="4"/>
      </w:pPr>
      <w:bookmarkStart w:id="54" w:name="_Toc136353193"/>
      <w:r>
        <w:t xml:space="preserve">8.2.1 </w:t>
      </w:r>
      <w:r>
        <w:rPr>
          <w:rFonts w:hint="eastAsia"/>
        </w:rPr>
        <w:t>选址地块</w:t>
      </w:r>
      <w:bookmarkEnd w:id="54"/>
    </w:p>
    <w:p>
      <w:r>
        <w:rPr>
          <w:rFonts w:hint="eastAsia"/>
        </w:rPr>
        <w:t xml:space="preserve"> </w:t>
      </w:r>
      <w:r>
        <w:t xml:space="preserve">   </w:t>
      </w:r>
      <w:r>
        <w:rPr>
          <w:rFonts w:hint="eastAsia" w:cs="Times New Roman"/>
          <w:snapToGrid w:val="0"/>
          <w:kern w:val="0"/>
          <w:szCs w:val="28"/>
        </w:rPr>
        <w:t>选址于西坞街道奉化循环经济园区内，地块面积约1</w:t>
      </w:r>
      <w:r>
        <w:rPr>
          <w:rFonts w:cs="Times New Roman"/>
          <w:snapToGrid w:val="0"/>
          <w:kern w:val="0"/>
          <w:szCs w:val="28"/>
        </w:rPr>
        <w:t>1.7</w:t>
      </w:r>
      <w:r>
        <w:rPr>
          <w:rFonts w:hint="eastAsia" w:cs="Times New Roman"/>
          <w:snapToGrid w:val="0"/>
          <w:kern w:val="0"/>
          <w:szCs w:val="28"/>
        </w:rPr>
        <w:t>亩。</w:t>
      </w:r>
    </w:p>
    <w:p>
      <w:pPr>
        <w:pStyle w:val="4"/>
      </w:pPr>
      <w:bookmarkStart w:id="55" w:name="_Toc136353194"/>
      <w:r>
        <w:t xml:space="preserve">8.2.2 </w:t>
      </w:r>
      <w:r>
        <w:rPr>
          <w:rFonts w:hint="eastAsia"/>
        </w:rPr>
        <w:t>用地规划符合性</w:t>
      </w:r>
      <w:bookmarkEnd w:id="55"/>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正在修订中的《宁波市奉化区西坞白杜工业地块（奉化循环经济园区）控制性详细规划》拟将选址地块确定为三类仓储物流用地，</w:t>
      </w:r>
      <w:r>
        <w:rPr>
          <w:rFonts w:cs="Times New Roman"/>
          <w:snapToGrid w:val="0"/>
          <w:kern w:val="0"/>
          <w:szCs w:val="28"/>
        </w:rPr>
        <w:t>用地类别符合用地要求。</w:t>
      </w:r>
    </w:p>
    <w:p>
      <w:pPr>
        <w:pStyle w:val="4"/>
      </w:pPr>
      <w:bookmarkStart w:id="56" w:name="_Toc136353195"/>
      <w:r>
        <w:t>8</w:t>
      </w:r>
      <w:r>
        <w:rPr>
          <w:rFonts w:hint="eastAsia"/>
        </w:rPr>
        <w:t>.</w:t>
      </w:r>
      <w:r>
        <w:t xml:space="preserve">2.3 </w:t>
      </w:r>
      <w:r>
        <w:rPr>
          <w:rFonts w:hint="eastAsia"/>
        </w:rPr>
        <w:t>选址符合性</w:t>
      </w:r>
      <w:bookmarkEnd w:id="56"/>
    </w:p>
    <w:p>
      <w:r>
        <w:rPr>
          <w:rFonts w:hint="eastAsia"/>
        </w:rPr>
        <w:t xml:space="preserve"> </w:t>
      </w:r>
      <w:r>
        <w:t xml:space="preserve">   </w:t>
      </w:r>
      <w:r>
        <w:rPr>
          <w:rFonts w:hint="eastAsia" w:cs="Times New Roman"/>
          <w:snapToGrid w:val="0"/>
          <w:kern w:val="0"/>
          <w:szCs w:val="28"/>
        </w:rPr>
        <w:t>新增带储存经营点布局在电镀园区，与较多使用企业相邻，减少了运输距离。同时，选址所在地交通便利，能很好地辐射江口、莼湖和滨海新区等地的使用企业。</w:t>
      </w:r>
    </w:p>
    <w:p>
      <w:pPr>
        <w:pStyle w:val="4"/>
      </w:pPr>
      <w:bookmarkStart w:id="57" w:name="_Toc136353196"/>
      <w:r>
        <w:t xml:space="preserve">8.2.4 </w:t>
      </w:r>
      <w:r>
        <w:rPr>
          <w:rFonts w:hint="eastAsia"/>
        </w:rPr>
        <w:t>安全风险识别与管控</w:t>
      </w:r>
      <w:bookmarkEnd w:id="57"/>
    </w:p>
    <w:p>
      <w:pPr>
        <w:ind w:firstLine="570"/>
      </w:pPr>
      <w:r>
        <w:rPr>
          <w:rFonts w:hint="eastAsia"/>
        </w:rPr>
        <w:t>新增储存设施储存的盐酸、硫酸、次氯酸钠等都属于腐蚀性物品，腐蚀性物品通过化学作用，使生物组织接触时造成严重损伤，或在渗漏时严重损害甚至毁坏其他货物或运载工具，安全风险集中在储存点内部和储存容器局部。新增储存设施要严格执行《腐蚀性商品储存养护技术条件》，控制腐蚀性物品的安全风险。</w:t>
      </w:r>
    </w:p>
    <w:p>
      <w:pPr>
        <w:ind w:firstLine="570"/>
      </w:pPr>
    </w:p>
    <w:p>
      <w:pPr>
        <w:ind w:firstLine="570"/>
        <w:sectPr>
          <w:pgSz w:w="11906" w:h="16838"/>
          <w:pgMar w:top="1440" w:right="1800" w:bottom="1440" w:left="1800" w:header="851" w:footer="992" w:gutter="0"/>
          <w:cols w:space="425" w:num="1"/>
          <w:docGrid w:type="lines" w:linePitch="312" w:charSpace="0"/>
        </w:sectPr>
      </w:pPr>
    </w:p>
    <w:p>
      <w:pPr>
        <w:pStyle w:val="2"/>
        <w:spacing w:before="156" w:after="156"/>
      </w:pPr>
      <w:bookmarkStart w:id="58" w:name="_Toc136353197"/>
      <w:r>
        <w:t xml:space="preserve">9 </w:t>
      </w:r>
      <w:r>
        <w:rPr>
          <w:rFonts w:hint="eastAsia"/>
        </w:rPr>
        <w:t>保障措施</w:t>
      </w:r>
      <w:bookmarkEnd w:id="58"/>
    </w:p>
    <w:p>
      <w:pPr>
        <w:pStyle w:val="3"/>
        <w:spacing w:after="156"/>
      </w:pPr>
      <w:bookmarkStart w:id="59" w:name="_Toc136353198"/>
      <w:r>
        <w:t>9</w:t>
      </w:r>
      <w:r>
        <w:rPr>
          <w:rFonts w:hint="eastAsia"/>
        </w:rPr>
        <w:t>.</w:t>
      </w:r>
      <w:r>
        <w:t xml:space="preserve">1 </w:t>
      </w:r>
      <w:r>
        <w:rPr>
          <w:rFonts w:hint="eastAsia"/>
        </w:rPr>
        <w:t>责任体系保障</w:t>
      </w:r>
      <w:bookmarkEnd w:id="59"/>
    </w:p>
    <w:p>
      <w:pPr>
        <w:overflowPunct w:val="0"/>
        <w:adjustRightInd w:val="0"/>
        <w:snapToGrid w:val="0"/>
        <w:spacing w:line="360" w:lineRule="auto"/>
        <w:ind w:firstLine="560" w:firstLineChars="200"/>
        <w:rPr>
          <w:rFonts w:cs="Times New Roman"/>
          <w:kern w:val="0"/>
          <w:szCs w:val="28"/>
        </w:rPr>
      </w:pPr>
      <w:r>
        <w:rPr>
          <w:rFonts w:hint="eastAsia" w:cs="Times New Roman"/>
          <w:kern w:val="0"/>
          <w:szCs w:val="28"/>
        </w:rPr>
        <w:t>推动负有危险化学品安全监管职责的部门责任落实到位。将规划任务纳入各街道（镇）领导干部年度任务清单，加强本地区危险化学品安全监管，落实落细监管执法责任。实施企业履责情况记销分制，倒逼企业依法履职。</w:t>
      </w:r>
    </w:p>
    <w:p>
      <w:pPr>
        <w:pStyle w:val="3"/>
        <w:spacing w:after="156"/>
      </w:pPr>
      <w:bookmarkStart w:id="60" w:name="_Toc136353199"/>
      <w:r>
        <w:t xml:space="preserve">9.2 </w:t>
      </w:r>
      <w:r>
        <w:rPr>
          <w:rFonts w:hint="eastAsia"/>
        </w:rPr>
        <w:t>空间规划保障</w:t>
      </w:r>
      <w:bookmarkEnd w:id="60"/>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将集中仓储选址纳入国土空间规划，划定周边土地安全控制线，严格控制安全控制线内的土地开发利用，保证危险化学品仓库外部安全防护距离满足要求。</w:t>
      </w:r>
    </w:p>
    <w:p>
      <w:pPr>
        <w:pStyle w:val="3"/>
        <w:spacing w:after="156"/>
      </w:pPr>
      <w:bookmarkStart w:id="61" w:name="_Toc136353200"/>
      <w:r>
        <w:t>9</w:t>
      </w:r>
      <w:r>
        <w:rPr>
          <w:rFonts w:hint="eastAsia"/>
        </w:rPr>
        <w:t>.</w:t>
      </w:r>
      <w:r>
        <w:t xml:space="preserve">3 </w:t>
      </w:r>
      <w:r>
        <w:rPr>
          <w:rFonts w:hint="eastAsia"/>
        </w:rPr>
        <w:t>行政执法保障</w:t>
      </w:r>
      <w:bookmarkEnd w:id="61"/>
    </w:p>
    <w:p>
      <w:pPr>
        <w:overflowPunct w:val="0"/>
        <w:adjustRightInd w:val="0"/>
        <w:snapToGrid w:val="0"/>
        <w:spacing w:line="360" w:lineRule="auto"/>
        <w:ind w:firstLine="560" w:firstLineChars="200"/>
        <w:rPr>
          <w:rFonts w:cs="Times New Roman"/>
          <w:snapToGrid w:val="0"/>
          <w:kern w:val="0"/>
          <w:szCs w:val="28"/>
        </w:rPr>
      </w:pPr>
      <w:r>
        <w:rPr>
          <w:rFonts w:hint="eastAsia" w:cs="Times New Roman"/>
          <w:snapToGrid w:val="0"/>
          <w:kern w:val="0"/>
          <w:szCs w:val="28"/>
        </w:rPr>
        <w:t>严厉打击危险化学品非法经营、违规储存行为。加强危险货物运输联合执法检查，排查化解事故多发路段安全风险，严厉打击水路运输超范围经营、谎报瞒报货物种类行为。依托危险化学品风险防控大数据平台，健全线上线下协同监管执法机制，提升执法的精准性、专业性、有效性。</w:t>
      </w:r>
    </w:p>
    <w:p>
      <w:pPr>
        <w:pStyle w:val="3"/>
        <w:spacing w:after="156"/>
      </w:pPr>
      <w:bookmarkStart w:id="62" w:name="_Toc136353201"/>
      <w:r>
        <w:t>9</w:t>
      </w:r>
      <w:r>
        <w:rPr>
          <w:rFonts w:hint="eastAsia"/>
        </w:rPr>
        <w:t>.</w:t>
      </w:r>
      <w:r>
        <w:t xml:space="preserve">4 </w:t>
      </w:r>
      <w:r>
        <w:rPr>
          <w:rFonts w:hint="eastAsia"/>
        </w:rPr>
        <w:t>财政资金保障</w:t>
      </w:r>
      <w:bookmarkEnd w:id="62"/>
    </w:p>
    <w:p>
      <w:pPr>
        <w:overflowPunct w:val="0"/>
        <w:adjustRightInd w:val="0"/>
        <w:snapToGrid w:val="0"/>
        <w:spacing w:line="360" w:lineRule="auto"/>
        <w:ind w:firstLine="570"/>
        <w:rPr>
          <w:rFonts w:cs="Times New Roman"/>
          <w:szCs w:val="28"/>
        </w:rPr>
      </w:pPr>
      <w:r>
        <w:rPr>
          <w:rFonts w:cs="Times New Roman"/>
          <w:szCs w:val="28"/>
        </w:rPr>
        <w:t>统筹财政支出</w:t>
      </w:r>
      <w:r>
        <w:rPr>
          <w:rFonts w:hint="eastAsia" w:cs="Times New Roman"/>
          <w:szCs w:val="28"/>
        </w:rPr>
        <w:t>，针对集中仓库</w:t>
      </w:r>
      <w:r>
        <w:rPr>
          <w:rFonts w:cs="Times New Roman"/>
          <w:szCs w:val="28"/>
        </w:rPr>
        <w:t>建设、拆迁改造、</w:t>
      </w:r>
      <w:r>
        <w:rPr>
          <w:rFonts w:hint="eastAsia" w:cs="Times New Roman"/>
          <w:szCs w:val="28"/>
        </w:rPr>
        <w:t>数字化</w:t>
      </w:r>
      <w:r>
        <w:rPr>
          <w:rFonts w:cs="Times New Roman"/>
          <w:szCs w:val="28"/>
        </w:rPr>
        <w:t>建设、风险管控等各项工作任务，做好年度财政预算，为</w:t>
      </w:r>
      <w:r>
        <w:rPr>
          <w:rFonts w:hint="eastAsia" w:cs="Times New Roman"/>
          <w:szCs w:val="28"/>
        </w:rPr>
        <w:t>危险化学品</w:t>
      </w:r>
      <w:r>
        <w:rPr>
          <w:rFonts w:cs="Times New Roman"/>
          <w:szCs w:val="28"/>
        </w:rPr>
        <w:t>行业安全发展提供资金保障。</w:t>
      </w:r>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加强资金筹措工作</w:t>
      </w:r>
      <w:r>
        <w:rPr>
          <w:rFonts w:hint="eastAsia" w:cs="Times New Roman"/>
          <w:snapToGrid w:val="0"/>
          <w:kern w:val="0"/>
          <w:szCs w:val="28"/>
        </w:rPr>
        <w:t>，</w:t>
      </w:r>
      <w:r>
        <w:rPr>
          <w:rFonts w:cs="Times New Roman"/>
          <w:snapToGrid w:val="0"/>
          <w:kern w:val="0"/>
          <w:szCs w:val="28"/>
        </w:rPr>
        <w:t>积极推动</w:t>
      </w:r>
      <w:r>
        <w:rPr>
          <w:rFonts w:hint="eastAsia" w:cs="Times New Roman"/>
          <w:snapToGrid w:val="0"/>
          <w:kern w:val="0"/>
          <w:szCs w:val="28"/>
        </w:rPr>
        <w:t>危险化学品行业</w:t>
      </w:r>
      <w:r>
        <w:rPr>
          <w:rFonts w:cs="Times New Roman"/>
          <w:snapToGrid w:val="0"/>
          <w:kern w:val="0"/>
          <w:szCs w:val="28"/>
        </w:rPr>
        <w:t>的安全发展。解放思想，用活政策，结合</w:t>
      </w:r>
      <w:r>
        <w:rPr>
          <w:rFonts w:hint="eastAsia" w:cs="Times New Roman"/>
          <w:snapToGrid w:val="0"/>
          <w:kern w:val="0"/>
          <w:szCs w:val="28"/>
        </w:rPr>
        <w:t>项目</w:t>
      </w:r>
      <w:r>
        <w:rPr>
          <w:rFonts w:cs="Times New Roman"/>
          <w:snapToGrid w:val="0"/>
          <w:kern w:val="0"/>
          <w:szCs w:val="28"/>
        </w:rPr>
        <w:t>建设，拓宽建设资金渠道，保证规划实施。</w:t>
      </w:r>
    </w:p>
    <w:p>
      <w:pPr>
        <w:overflowPunct w:val="0"/>
        <w:adjustRightInd w:val="0"/>
        <w:snapToGrid w:val="0"/>
        <w:spacing w:line="360" w:lineRule="auto"/>
        <w:ind w:firstLine="570"/>
        <w:rPr>
          <w:rFonts w:cs="Times New Roman"/>
          <w:szCs w:val="28"/>
        </w:rPr>
      </w:pPr>
    </w:p>
    <w:p>
      <w:pPr>
        <w:pStyle w:val="3"/>
        <w:spacing w:after="156"/>
      </w:pPr>
      <w:bookmarkStart w:id="63" w:name="_Toc136353202"/>
      <w:r>
        <w:t xml:space="preserve">9.5 </w:t>
      </w:r>
      <w:r>
        <w:rPr>
          <w:rFonts w:hint="eastAsia"/>
        </w:rPr>
        <w:t>社会宣传保障</w:t>
      </w:r>
      <w:bookmarkEnd w:id="63"/>
    </w:p>
    <w:p>
      <w:pPr>
        <w:overflowPunct w:val="0"/>
        <w:adjustRightInd w:val="0"/>
        <w:snapToGrid w:val="0"/>
        <w:spacing w:line="360" w:lineRule="auto"/>
        <w:ind w:firstLine="560" w:firstLineChars="200"/>
        <w:rPr>
          <w:rFonts w:cs="Times New Roman"/>
          <w:snapToGrid w:val="0"/>
          <w:kern w:val="0"/>
          <w:szCs w:val="28"/>
        </w:rPr>
      </w:pPr>
      <w:r>
        <w:rPr>
          <w:rFonts w:cs="Times New Roman"/>
          <w:snapToGrid w:val="0"/>
          <w:kern w:val="0"/>
          <w:szCs w:val="28"/>
        </w:rPr>
        <w:t>积极采取电视、广场大屏、报纸和网络等多种形式，充分利用安全生产月、安全生产普法宣传有利时机，加强对广大群众的安全文化宣传教育，增强</w:t>
      </w:r>
      <w:r>
        <w:rPr>
          <w:rFonts w:hint="eastAsia" w:cs="Times New Roman"/>
          <w:snapToGrid w:val="0"/>
          <w:kern w:val="0"/>
          <w:szCs w:val="28"/>
        </w:rPr>
        <w:t>危险化学品</w:t>
      </w:r>
      <w:r>
        <w:rPr>
          <w:rFonts w:cs="Times New Roman"/>
          <w:snapToGrid w:val="0"/>
          <w:kern w:val="0"/>
          <w:szCs w:val="28"/>
        </w:rPr>
        <w:t>企业安全生产意识</w:t>
      </w:r>
      <w:r>
        <w:rPr>
          <w:rFonts w:hint="eastAsia" w:cs="Times New Roman"/>
          <w:snapToGrid w:val="0"/>
          <w:kern w:val="0"/>
          <w:szCs w:val="28"/>
        </w:rPr>
        <w:t>，争取社会各界对规划实施和项目建设的支持。</w:t>
      </w:r>
    </w:p>
    <w:p>
      <w:pPr>
        <w:overflowPunct w:val="0"/>
        <w:adjustRightInd w:val="0"/>
        <w:snapToGrid w:val="0"/>
        <w:spacing w:line="360" w:lineRule="auto"/>
        <w:rPr>
          <w:rFonts w:cs="Times New Roman"/>
          <w:b/>
          <w:snapToGrid w:val="0"/>
          <w:kern w:val="0"/>
          <w:sz w:val="36"/>
          <w:szCs w:val="36"/>
        </w:rPr>
      </w:pPr>
    </w:p>
    <w:p>
      <w:pPr>
        <w:sectPr>
          <w:pgSz w:w="11906" w:h="16838"/>
          <w:pgMar w:top="1440" w:right="1800" w:bottom="1440" w:left="1800" w:header="851" w:footer="992" w:gutter="0"/>
          <w:cols w:space="425" w:num="1"/>
          <w:docGrid w:type="lines" w:linePitch="312" w:charSpace="0"/>
        </w:sectPr>
      </w:pPr>
    </w:p>
    <w:p>
      <w:pPr>
        <w:pStyle w:val="3"/>
        <w:spacing w:after="190"/>
      </w:pPr>
      <w:bookmarkStart w:id="64" w:name="_Toc136353203"/>
      <w:r>
        <w:rPr>
          <w:rFonts w:hint="eastAsia"/>
        </w:rPr>
        <w:t xml:space="preserve">附表 </w:t>
      </w:r>
      <w:r>
        <w:t>奉化区危险化学品带储存经营</w:t>
      </w:r>
      <w:r>
        <w:rPr>
          <w:rFonts w:hint="eastAsia"/>
        </w:rPr>
        <w:t>、店面零售和部分票据贸易</w:t>
      </w:r>
      <w:r>
        <w:t>企业</w:t>
      </w:r>
      <w:r>
        <w:rPr>
          <w:rFonts w:hint="eastAsia"/>
        </w:rPr>
        <w:t>基本情况汇总表</w:t>
      </w:r>
      <w:bookmarkEnd w:id="64"/>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4121"/>
        <w:gridCol w:w="5966"/>
        <w:gridCol w:w="1647"/>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blHeader/>
          <w:jc w:val="center"/>
        </w:trPr>
        <w:tc>
          <w:tcPr>
            <w:tcW w:w="252" w:type="pct"/>
            <w:tcBorders>
              <w:top w:val="single" w:color="000000" w:sz="4" w:space="0"/>
              <w:left w:val="single" w:color="000000" w:sz="4" w:space="0"/>
              <w:bottom w:val="single" w:color="000000" w:sz="4" w:space="0"/>
              <w:right w:val="single" w:color="auto" w:sz="4" w:space="0"/>
            </w:tcBorders>
            <w:shd w:val="clear" w:color="auto" w:fill="E7E6E6"/>
            <w:tcMar>
              <w:top w:w="15" w:type="dxa"/>
              <w:left w:w="15" w:type="dxa"/>
              <w:bottom w:w="0" w:type="dxa"/>
              <w:right w:w="15" w:type="dxa"/>
            </w:tcMar>
            <w:vAlign w:val="center"/>
          </w:tcPr>
          <w:p>
            <w:pPr>
              <w:autoSpaceDE w:val="0"/>
              <w:jc w:val="center"/>
              <w:rPr>
                <w:rFonts w:cs="Times New Roman"/>
                <w:b/>
                <w:sz w:val="21"/>
                <w:szCs w:val="21"/>
              </w:rPr>
            </w:pPr>
            <w:r>
              <w:rPr>
                <w:rFonts w:cs="Times New Roman"/>
                <w:b/>
                <w:sz w:val="21"/>
                <w:szCs w:val="21"/>
              </w:rPr>
              <w:t>序号</w:t>
            </w:r>
          </w:p>
        </w:tc>
        <w:tc>
          <w:tcPr>
            <w:tcW w:w="1474" w:type="pct"/>
            <w:tcBorders>
              <w:top w:val="single" w:color="auto" w:sz="4" w:space="0"/>
              <w:left w:val="single" w:color="auto" w:sz="4" w:space="0"/>
              <w:bottom w:val="single" w:color="auto" w:sz="4" w:space="0"/>
              <w:right w:val="single" w:color="auto" w:sz="4" w:space="0"/>
            </w:tcBorders>
            <w:shd w:val="clear" w:color="auto" w:fill="E7E6E6"/>
            <w:vAlign w:val="center"/>
          </w:tcPr>
          <w:p>
            <w:pPr>
              <w:autoSpaceDE w:val="0"/>
              <w:jc w:val="center"/>
              <w:rPr>
                <w:rFonts w:cs="Times New Roman"/>
                <w:b/>
                <w:sz w:val="21"/>
                <w:szCs w:val="21"/>
              </w:rPr>
            </w:pPr>
            <w:r>
              <w:rPr>
                <w:rFonts w:hint="eastAsia" w:cs="Times New Roman"/>
                <w:b/>
                <w:sz w:val="21"/>
                <w:szCs w:val="21"/>
              </w:rPr>
              <w:t>企业名称</w:t>
            </w:r>
          </w:p>
        </w:tc>
        <w:tc>
          <w:tcPr>
            <w:tcW w:w="2134" w:type="pct"/>
            <w:tcBorders>
              <w:top w:val="single" w:color="auto" w:sz="4" w:space="0"/>
              <w:left w:val="single" w:color="auto" w:sz="4" w:space="0"/>
              <w:bottom w:val="single" w:color="auto" w:sz="4" w:space="0"/>
              <w:right w:val="single" w:color="auto" w:sz="4" w:space="0"/>
            </w:tcBorders>
            <w:shd w:val="clear" w:color="auto" w:fill="E7E6E6"/>
            <w:vAlign w:val="center"/>
          </w:tcPr>
          <w:p>
            <w:pPr>
              <w:autoSpaceDE w:val="0"/>
              <w:jc w:val="center"/>
              <w:rPr>
                <w:rFonts w:cs="Times New Roman"/>
                <w:b/>
                <w:sz w:val="21"/>
                <w:szCs w:val="21"/>
              </w:rPr>
            </w:pPr>
            <w:r>
              <w:rPr>
                <w:rFonts w:hint="eastAsia" w:cs="Times New Roman"/>
                <w:b/>
                <w:sz w:val="21"/>
                <w:szCs w:val="21"/>
              </w:rPr>
              <w:t>地址</w:t>
            </w:r>
          </w:p>
        </w:tc>
        <w:tc>
          <w:tcPr>
            <w:tcW w:w="589" w:type="pct"/>
            <w:tcBorders>
              <w:top w:val="single" w:color="000000" w:sz="4" w:space="0"/>
              <w:left w:val="nil"/>
              <w:bottom w:val="single" w:color="000000" w:sz="4" w:space="0"/>
              <w:right w:val="single" w:color="000000" w:sz="4" w:space="0"/>
            </w:tcBorders>
            <w:shd w:val="clear" w:color="auto" w:fill="E7E6E6"/>
            <w:vAlign w:val="center"/>
          </w:tcPr>
          <w:p>
            <w:pPr>
              <w:autoSpaceDE w:val="0"/>
              <w:jc w:val="center"/>
              <w:rPr>
                <w:rFonts w:cs="Times New Roman"/>
                <w:b/>
                <w:sz w:val="21"/>
                <w:szCs w:val="21"/>
              </w:rPr>
            </w:pPr>
            <w:r>
              <w:rPr>
                <w:rFonts w:hint="eastAsia" w:cs="Times New Roman"/>
                <w:b/>
                <w:sz w:val="21"/>
                <w:szCs w:val="21"/>
              </w:rPr>
              <w:t>经营方式</w:t>
            </w:r>
          </w:p>
        </w:tc>
        <w:tc>
          <w:tcPr>
            <w:tcW w:w="551" w:type="pct"/>
            <w:tcBorders>
              <w:top w:val="single" w:color="000000" w:sz="4" w:space="0"/>
              <w:left w:val="single" w:color="000000" w:sz="4" w:space="0"/>
              <w:bottom w:val="single" w:color="000000" w:sz="4" w:space="0"/>
              <w:right w:val="single" w:color="000000" w:sz="4" w:space="0"/>
            </w:tcBorders>
            <w:shd w:val="clear" w:color="auto" w:fill="E7E6E6"/>
            <w:vAlign w:val="center"/>
          </w:tcPr>
          <w:p>
            <w:pPr>
              <w:autoSpaceDE w:val="0"/>
              <w:jc w:val="center"/>
              <w:rPr>
                <w:rFonts w:cs="Times New Roman"/>
                <w:b/>
                <w:sz w:val="21"/>
                <w:szCs w:val="21"/>
              </w:rPr>
            </w:pPr>
            <w:r>
              <w:rPr>
                <w:rFonts w:hint="eastAsia" w:cs="Times New Roman"/>
                <w:b/>
                <w:sz w:val="21"/>
                <w:szCs w:val="21"/>
              </w:rPr>
              <w:t>产品</w:t>
            </w:r>
            <w:r>
              <w:rPr>
                <w:rFonts w:cs="Times New Roman"/>
                <w:b/>
                <w:sz w:val="21"/>
                <w:szCs w:val="21"/>
              </w:rPr>
              <w:t>品</w:t>
            </w:r>
            <w:r>
              <w:rPr>
                <w:rFonts w:hint="eastAsia" w:cs="Times New Roman"/>
                <w:b/>
                <w:sz w:val="21"/>
                <w:szCs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宁波凯普乐贸易有限公司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莼湖街道楼二村</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带储存经营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片碱等固体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2</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宁波市奉化区众拓化工有限公司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江口街道山头朱村大岙</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带储存经营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酸碱类液体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3</w:t>
            </w:r>
          </w:p>
        </w:tc>
        <w:tc>
          <w:tcPr>
            <w:tcW w:w="1474" w:type="pct"/>
            <w:tcBorders>
              <w:top w:val="single" w:color="auto" w:sz="4" w:space="0"/>
              <w:left w:val="single" w:color="auto" w:sz="4" w:space="0"/>
              <w:bottom w:val="single" w:color="auto" w:sz="4" w:space="0"/>
              <w:right w:val="single" w:color="auto" w:sz="4" w:space="0"/>
            </w:tcBorders>
          </w:tcPr>
          <w:p>
            <w:pPr>
              <w:jc w:val="center"/>
              <w:rPr>
                <w:sz w:val="22"/>
                <w:szCs w:val="20"/>
              </w:rPr>
            </w:pPr>
            <w:r>
              <w:rPr>
                <w:rFonts w:hint="eastAsia"/>
                <w:sz w:val="22"/>
                <w:szCs w:val="20"/>
              </w:rPr>
              <w:t>宁波市奉化裘村金龙助剂厂</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裘村镇裘四村</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带储存经营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硫磺粉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4</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宁波奉化尚田大丰气体有限公司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尚田街道孙家开发区</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带储存经营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5</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宁波奉化莼湖阳光气体有限公司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莼湖街道陈三村</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带储存经营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6</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宁波奉化永真气体供应站</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西坞街道镇南东路46-2号</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7</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宁波奉化欣辉气体有限公司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莼湖街道栖凤村梧凤路188号</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8</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宁波奉化区方桥气体供应站</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方桥街道方欣路22号</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9</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宁波市奉化溪口星球气体供应站</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溪口镇大张村</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0</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宁波奉化丰达气体有限公司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岳林街道新鲍村（原畜牧场内）</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1</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宁波奉化莼湖阳光气体有限公司门市部</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岳林街道湖桥村陈家岭</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2</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宁波市奉化岳林兴业气体供应站</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岳林街道麻厂路(原奉化市龙潭空心砖厂)</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3</w:t>
            </w:r>
          </w:p>
        </w:tc>
        <w:tc>
          <w:tcPr>
            <w:tcW w:w="1474" w:type="pct"/>
            <w:tcBorders>
              <w:top w:val="single" w:color="auto" w:sz="4" w:space="0"/>
              <w:left w:val="single" w:color="auto" w:sz="4" w:space="0"/>
              <w:bottom w:val="single" w:color="auto" w:sz="4" w:space="0"/>
              <w:right w:val="single" w:color="auto" w:sz="4" w:space="0"/>
            </w:tcBorders>
          </w:tcPr>
          <w:p>
            <w:pPr>
              <w:jc w:val="center"/>
              <w:rPr>
                <w:rFonts w:cs="Times New Roman"/>
                <w:sz w:val="22"/>
                <w:szCs w:val="20"/>
              </w:rPr>
            </w:pPr>
            <w:r>
              <w:rPr>
                <w:rFonts w:hint="eastAsia"/>
                <w:sz w:val="22"/>
                <w:szCs w:val="20"/>
              </w:rPr>
              <w:t>宁波奉化大卫气体供应站</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萧王庙街道慈林村口大溪滩</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工业气体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4</w:t>
            </w:r>
          </w:p>
        </w:tc>
        <w:tc>
          <w:tcPr>
            <w:tcW w:w="1474" w:type="pct"/>
            <w:tcBorders>
              <w:top w:val="single" w:color="auto" w:sz="4" w:space="0"/>
              <w:left w:val="single" w:color="auto" w:sz="4" w:space="0"/>
              <w:bottom w:val="single" w:color="auto" w:sz="4" w:space="0"/>
              <w:right w:val="single" w:color="auto" w:sz="4" w:space="0"/>
            </w:tcBorders>
            <w:vAlign w:val="center"/>
          </w:tcPr>
          <w:p>
            <w:pPr>
              <w:jc w:val="center"/>
              <w:rPr>
                <w:sz w:val="22"/>
                <w:szCs w:val="20"/>
              </w:rPr>
            </w:pPr>
            <w:r>
              <w:rPr>
                <w:rFonts w:hint="eastAsia"/>
                <w:sz w:val="22"/>
                <w:szCs w:val="20"/>
              </w:rPr>
              <w:t>奉化甬新涂料有限公司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rPr>
            </w:pPr>
            <w:r>
              <w:rPr>
                <w:rFonts w:hint="eastAsia" w:cs="Times New Roman"/>
                <w:sz w:val="21"/>
                <w:szCs w:val="21"/>
              </w:rPr>
              <w:t>岳林街道大成东路1599号</w:t>
            </w:r>
          </w:p>
          <w:p>
            <w:pPr>
              <w:jc w:val="center"/>
              <w:rPr>
                <w:rFonts w:cs="Times New Roman"/>
                <w:sz w:val="21"/>
                <w:szCs w:val="21"/>
              </w:rPr>
            </w:pPr>
            <w:r>
              <w:rPr>
                <w:rFonts w:hint="eastAsia" w:cs="Times New Roman"/>
                <w:sz w:val="21"/>
                <w:szCs w:val="21"/>
              </w:rPr>
              <w:t>南海锦地建材家饰商城油漆街11-15#</w:t>
            </w:r>
          </w:p>
        </w:tc>
        <w:tc>
          <w:tcPr>
            <w:tcW w:w="589" w:type="pct"/>
            <w:tcBorders>
              <w:top w:val="single" w:color="000000" w:sz="4" w:space="0"/>
              <w:left w:val="nil"/>
              <w:bottom w:val="single" w:color="000000" w:sz="4" w:space="0"/>
              <w:right w:val="single" w:color="000000" w:sz="4" w:space="0"/>
            </w:tcBorders>
            <w:vAlign w:val="center"/>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hint="eastAsia" w:cs="Times New Roman"/>
                <w:sz w:val="21"/>
                <w:szCs w:val="21"/>
              </w:rPr>
            </w:pPr>
            <w:r>
              <w:rPr>
                <w:rFonts w:hint="eastAsia" w:cs="Times New Roman"/>
                <w:sz w:val="21"/>
                <w:szCs w:val="21"/>
              </w:rPr>
              <w:t>油漆涂料及</w:t>
            </w:r>
          </w:p>
          <w:p>
            <w:pPr>
              <w:jc w:val="center"/>
              <w:rPr>
                <w:rFonts w:cs="Times New Roman"/>
                <w:sz w:val="21"/>
                <w:szCs w:val="21"/>
              </w:rPr>
            </w:pPr>
            <w:r>
              <w:rPr>
                <w:rFonts w:hint="eastAsia" w:cs="Times New Roman"/>
                <w:sz w:val="21"/>
                <w:szCs w:val="21"/>
              </w:rPr>
              <w:t>稀释剂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5</w:t>
            </w:r>
          </w:p>
        </w:tc>
        <w:tc>
          <w:tcPr>
            <w:tcW w:w="147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2"/>
                <w:szCs w:val="20"/>
              </w:rPr>
            </w:pPr>
            <w:r>
              <w:rPr>
                <w:rFonts w:hint="eastAsia"/>
                <w:sz w:val="22"/>
                <w:szCs w:val="20"/>
              </w:rPr>
              <w:t>宁波奉化家丽安建材经营部</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rPr>
            </w:pPr>
            <w:r>
              <w:rPr>
                <w:rFonts w:hint="eastAsia" w:cs="Times New Roman"/>
                <w:sz w:val="21"/>
                <w:szCs w:val="21"/>
              </w:rPr>
              <w:t>岳林街道大成东路1599号</w:t>
            </w:r>
          </w:p>
          <w:p>
            <w:pPr>
              <w:jc w:val="center"/>
              <w:rPr>
                <w:rFonts w:cs="Times New Roman"/>
                <w:sz w:val="21"/>
                <w:szCs w:val="21"/>
              </w:rPr>
            </w:pPr>
            <w:r>
              <w:rPr>
                <w:rFonts w:hint="eastAsia" w:cs="Times New Roman"/>
                <w:sz w:val="21"/>
                <w:szCs w:val="21"/>
              </w:rPr>
              <w:t>南海锦地建材家饰商城油漆街16-20#</w:t>
            </w:r>
          </w:p>
        </w:tc>
        <w:tc>
          <w:tcPr>
            <w:tcW w:w="589" w:type="pct"/>
            <w:tcBorders>
              <w:top w:val="single" w:color="000000" w:sz="4" w:space="0"/>
              <w:left w:val="nil"/>
              <w:bottom w:val="single" w:color="000000" w:sz="4" w:space="0"/>
              <w:right w:val="single" w:color="000000" w:sz="4" w:space="0"/>
            </w:tcBorders>
            <w:vAlign w:val="center"/>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hint="eastAsia" w:cs="Times New Roman"/>
                <w:sz w:val="21"/>
                <w:szCs w:val="21"/>
              </w:rPr>
            </w:pPr>
            <w:r>
              <w:rPr>
                <w:rFonts w:hint="eastAsia" w:cs="Times New Roman"/>
                <w:sz w:val="21"/>
                <w:szCs w:val="21"/>
              </w:rPr>
              <w:t>油漆涂料及</w:t>
            </w:r>
          </w:p>
          <w:p>
            <w:pPr>
              <w:jc w:val="center"/>
              <w:rPr>
                <w:rFonts w:cs="Times New Roman"/>
                <w:sz w:val="21"/>
                <w:szCs w:val="21"/>
              </w:rPr>
            </w:pPr>
            <w:r>
              <w:rPr>
                <w:rFonts w:hint="eastAsia" w:cs="Times New Roman"/>
                <w:sz w:val="21"/>
                <w:szCs w:val="21"/>
              </w:rPr>
              <w:t>稀释剂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6</w:t>
            </w:r>
          </w:p>
        </w:tc>
        <w:tc>
          <w:tcPr>
            <w:tcW w:w="147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2"/>
                <w:szCs w:val="20"/>
              </w:rPr>
            </w:pPr>
            <w:r>
              <w:rPr>
                <w:rFonts w:hint="eastAsia"/>
                <w:sz w:val="22"/>
                <w:szCs w:val="20"/>
              </w:rPr>
              <w:t>宁波奉化佳丽安建材商行</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rPr>
            </w:pPr>
            <w:r>
              <w:rPr>
                <w:rFonts w:hint="eastAsia" w:cs="Times New Roman"/>
                <w:sz w:val="21"/>
                <w:szCs w:val="21"/>
              </w:rPr>
              <w:t>岳林街道大成东路1599号</w:t>
            </w:r>
          </w:p>
          <w:p>
            <w:pPr>
              <w:jc w:val="center"/>
              <w:rPr>
                <w:rFonts w:cs="Times New Roman"/>
                <w:sz w:val="21"/>
                <w:szCs w:val="21"/>
              </w:rPr>
            </w:pPr>
            <w:r>
              <w:rPr>
                <w:rFonts w:hint="eastAsia" w:cs="Times New Roman"/>
                <w:sz w:val="21"/>
                <w:szCs w:val="21"/>
              </w:rPr>
              <w:t>南海锦地建材家饰商城油漆街42-44#</w:t>
            </w:r>
          </w:p>
        </w:tc>
        <w:tc>
          <w:tcPr>
            <w:tcW w:w="589" w:type="pct"/>
            <w:tcBorders>
              <w:top w:val="single" w:color="000000" w:sz="4" w:space="0"/>
              <w:left w:val="nil"/>
              <w:bottom w:val="single" w:color="000000" w:sz="4" w:space="0"/>
              <w:right w:val="single" w:color="000000" w:sz="4" w:space="0"/>
            </w:tcBorders>
            <w:vAlign w:val="center"/>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hint="eastAsia" w:cs="Times New Roman"/>
                <w:sz w:val="21"/>
                <w:szCs w:val="21"/>
              </w:rPr>
            </w:pPr>
            <w:r>
              <w:rPr>
                <w:rFonts w:hint="eastAsia" w:cs="Times New Roman"/>
                <w:sz w:val="21"/>
                <w:szCs w:val="21"/>
              </w:rPr>
              <w:t>油漆涂料及</w:t>
            </w:r>
          </w:p>
          <w:p>
            <w:pPr>
              <w:jc w:val="center"/>
              <w:rPr>
                <w:rFonts w:cs="Times New Roman"/>
                <w:sz w:val="21"/>
                <w:szCs w:val="21"/>
              </w:rPr>
            </w:pPr>
            <w:r>
              <w:rPr>
                <w:rFonts w:hint="eastAsia" w:cs="Times New Roman"/>
                <w:sz w:val="21"/>
                <w:szCs w:val="21"/>
              </w:rPr>
              <w:t>稀释剂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7</w:t>
            </w:r>
          </w:p>
        </w:tc>
        <w:tc>
          <w:tcPr>
            <w:tcW w:w="147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2"/>
                <w:szCs w:val="20"/>
              </w:rPr>
            </w:pPr>
            <w:r>
              <w:rPr>
                <w:rFonts w:hint="eastAsia"/>
                <w:sz w:val="22"/>
                <w:szCs w:val="20"/>
              </w:rPr>
              <w:t>宁波奉化海盈装饰材料有限公司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rPr>
            </w:pPr>
            <w:r>
              <w:rPr>
                <w:rFonts w:hint="eastAsia" w:cs="Times New Roman"/>
                <w:sz w:val="21"/>
                <w:szCs w:val="21"/>
              </w:rPr>
              <w:t>岳林街道大成东路1599号</w:t>
            </w:r>
          </w:p>
          <w:p>
            <w:pPr>
              <w:jc w:val="center"/>
              <w:rPr>
                <w:rFonts w:cs="Times New Roman"/>
                <w:sz w:val="21"/>
                <w:szCs w:val="21"/>
              </w:rPr>
            </w:pPr>
            <w:r>
              <w:rPr>
                <w:rFonts w:hint="eastAsia" w:cs="Times New Roman"/>
                <w:sz w:val="21"/>
                <w:szCs w:val="21"/>
              </w:rPr>
              <w:t>南海锦地建材家饰商城油漆街45-52</w:t>
            </w:r>
            <w:r>
              <w:rPr>
                <w:rFonts w:cs="Times New Roman"/>
                <w:sz w:val="21"/>
                <w:szCs w:val="21"/>
              </w:rPr>
              <w:t>#</w:t>
            </w:r>
          </w:p>
        </w:tc>
        <w:tc>
          <w:tcPr>
            <w:tcW w:w="589" w:type="pct"/>
            <w:tcBorders>
              <w:top w:val="single" w:color="000000" w:sz="4" w:space="0"/>
              <w:left w:val="nil"/>
              <w:bottom w:val="single" w:color="000000" w:sz="4" w:space="0"/>
              <w:right w:val="single" w:color="000000" w:sz="4" w:space="0"/>
            </w:tcBorders>
            <w:vAlign w:val="center"/>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hint="eastAsia" w:cs="Times New Roman"/>
                <w:sz w:val="21"/>
                <w:szCs w:val="21"/>
              </w:rPr>
            </w:pPr>
            <w:r>
              <w:rPr>
                <w:rFonts w:hint="eastAsia" w:cs="Times New Roman"/>
                <w:sz w:val="21"/>
                <w:szCs w:val="21"/>
              </w:rPr>
              <w:t>油漆涂料及</w:t>
            </w:r>
          </w:p>
          <w:p>
            <w:pPr>
              <w:jc w:val="center"/>
              <w:rPr>
                <w:rFonts w:cs="Times New Roman"/>
                <w:sz w:val="21"/>
                <w:szCs w:val="21"/>
              </w:rPr>
            </w:pPr>
            <w:r>
              <w:rPr>
                <w:rFonts w:hint="eastAsia" w:cs="Times New Roman"/>
                <w:sz w:val="21"/>
                <w:szCs w:val="21"/>
              </w:rPr>
              <w:t>稀释剂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8</w:t>
            </w:r>
          </w:p>
        </w:tc>
        <w:tc>
          <w:tcPr>
            <w:tcW w:w="1474" w:type="pct"/>
            <w:tcBorders>
              <w:top w:val="single" w:color="auto" w:sz="4" w:space="0"/>
              <w:left w:val="single" w:color="auto" w:sz="4" w:space="0"/>
              <w:bottom w:val="single" w:color="auto" w:sz="4" w:space="0"/>
              <w:right w:val="single" w:color="auto" w:sz="4" w:space="0"/>
            </w:tcBorders>
          </w:tcPr>
          <w:p>
            <w:pPr>
              <w:jc w:val="center"/>
              <w:rPr>
                <w:sz w:val="22"/>
                <w:szCs w:val="20"/>
              </w:rPr>
            </w:pPr>
            <w:r>
              <w:rPr>
                <w:rFonts w:hint="eastAsia"/>
                <w:sz w:val="22"/>
                <w:szCs w:val="20"/>
              </w:rPr>
              <w:t>宁波市奉化区东茂橡胶有限公司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江口街道江宁路185号</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店面零售经营</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硫磺粉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1</w:t>
            </w:r>
            <w:r>
              <w:rPr>
                <w:rFonts w:cs="Times New Roman"/>
                <w:sz w:val="21"/>
                <w:szCs w:val="21"/>
              </w:rPr>
              <w:t>9</w:t>
            </w:r>
          </w:p>
        </w:tc>
        <w:tc>
          <w:tcPr>
            <w:tcW w:w="1474" w:type="pct"/>
            <w:tcBorders>
              <w:top w:val="single" w:color="auto" w:sz="4" w:space="0"/>
              <w:left w:val="single" w:color="auto" w:sz="4" w:space="0"/>
              <w:bottom w:val="single" w:color="auto" w:sz="4" w:space="0"/>
              <w:right w:val="single" w:color="auto" w:sz="4" w:space="0"/>
            </w:tcBorders>
          </w:tcPr>
          <w:p>
            <w:pPr>
              <w:jc w:val="center"/>
              <w:rPr>
                <w:sz w:val="22"/>
                <w:szCs w:val="20"/>
              </w:rPr>
            </w:pPr>
            <w:r>
              <w:rPr>
                <w:rFonts w:hint="eastAsia"/>
                <w:sz w:val="22"/>
                <w:szCs w:val="20"/>
              </w:rPr>
              <w:t>宁波奉化益久化工贸易有限公司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岳林街道新丰路27号</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票据贸易</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酸碱类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52" w:type="pct"/>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tcPr>
          <w:p>
            <w:pPr>
              <w:jc w:val="center"/>
              <w:rPr>
                <w:rFonts w:cs="Times New Roman"/>
                <w:sz w:val="21"/>
                <w:szCs w:val="21"/>
              </w:rPr>
            </w:pPr>
            <w:r>
              <w:rPr>
                <w:rFonts w:hint="eastAsia" w:cs="Times New Roman"/>
                <w:sz w:val="21"/>
                <w:szCs w:val="21"/>
              </w:rPr>
              <w:t>2</w:t>
            </w:r>
            <w:r>
              <w:rPr>
                <w:rFonts w:cs="Times New Roman"/>
                <w:sz w:val="21"/>
                <w:szCs w:val="21"/>
              </w:rPr>
              <w:t>0</w:t>
            </w:r>
          </w:p>
        </w:tc>
        <w:tc>
          <w:tcPr>
            <w:tcW w:w="1474" w:type="pct"/>
            <w:tcBorders>
              <w:top w:val="single" w:color="auto" w:sz="4" w:space="0"/>
              <w:left w:val="single" w:color="auto" w:sz="4" w:space="0"/>
              <w:bottom w:val="single" w:color="auto" w:sz="4" w:space="0"/>
              <w:right w:val="single" w:color="auto" w:sz="4" w:space="0"/>
            </w:tcBorders>
          </w:tcPr>
          <w:p>
            <w:pPr>
              <w:jc w:val="center"/>
              <w:rPr>
                <w:sz w:val="22"/>
                <w:szCs w:val="20"/>
              </w:rPr>
            </w:pPr>
            <w:r>
              <w:rPr>
                <w:rFonts w:hint="eastAsia"/>
                <w:sz w:val="22"/>
                <w:szCs w:val="20"/>
              </w:rPr>
              <w:t>宁波市奉化区兴国化工有限公司</w:t>
            </w:r>
          </w:p>
        </w:tc>
        <w:tc>
          <w:tcPr>
            <w:tcW w:w="2134"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岳林街道金海路251号</w:t>
            </w:r>
          </w:p>
        </w:tc>
        <w:tc>
          <w:tcPr>
            <w:tcW w:w="589" w:type="pct"/>
            <w:tcBorders>
              <w:top w:val="single" w:color="000000" w:sz="4" w:space="0"/>
              <w:left w:val="nil"/>
              <w:bottom w:val="single" w:color="000000" w:sz="4" w:space="0"/>
              <w:right w:val="single" w:color="000000" w:sz="4" w:space="0"/>
            </w:tcBorders>
          </w:tcPr>
          <w:p>
            <w:pPr>
              <w:jc w:val="center"/>
              <w:rPr>
                <w:rFonts w:cs="Times New Roman"/>
                <w:sz w:val="21"/>
                <w:szCs w:val="21"/>
              </w:rPr>
            </w:pPr>
            <w:r>
              <w:rPr>
                <w:rFonts w:hint="eastAsia" w:cs="Times New Roman"/>
                <w:sz w:val="21"/>
                <w:szCs w:val="21"/>
              </w:rPr>
              <w:t>票据贸易</w:t>
            </w:r>
          </w:p>
        </w:tc>
        <w:tc>
          <w:tcPr>
            <w:tcW w:w="551" w:type="pct"/>
            <w:tcBorders>
              <w:top w:val="single" w:color="000000" w:sz="4" w:space="0"/>
              <w:left w:val="single" w:color="000000" w:sz="4" w:space="0"/>
              <w:bottom w:val="single" w:color="000000" w:sz="4" w:space="0"/>
              <w:right w:val="single" w:color="000000" w:sz="4" w:space="0"/>
            </w:tcBorders>
          </w:tcPr>
          <w:p>
            <w:pPr>
              <w:jc w:val="center"/>
              <w:rPr>
                <w:rFonts w:cs="Times New Roman"/>
                <w:sz w:val="21"/>
                <w:szCs w:val="21"/>
              </w:rPr>
            </w:pPr>
            <w:r>
              <w:rPr>
                <w:rFonts w:hint="eastAsia" w:cs="Times New Roman"/>
                <w:sz w:val="21"/>
                <w:szCs w:val="21"/>
              </w:rPr>
              <w:t>酸碱类</w:t>
            </w:r>
          </w:p>
        </w:tc>
      </w:tr>
    </w:tbl>
    <w:p>
      <w:pPr>
        <w:pStyle w:val="19"/>
        <w:ind w:firstLine="0" w:firstLineChars="0"/>
      </w:pPr>
    </w:p>
    <w:p>
      <w:pPr>
        <w:sectPr>
          <w:pgSz w:w="16838" w:h="11906" w:orient="landscape"/>
          <w:pgMar w:top="1800" w:right="1440" w:bottom="1800" w:left="1440" w:header="851" w:footer="992" w:gutter="0"/>
          <w:cols w:space="425" w:num="1"/>
          <w:docGrid w:type="lines" w:linePitch="381" w:charSpace="0"/>
        </w:sectPr>
      </w:pPr>
    </w:p>
    <w:p>
      <w:pPr>
        <w:pStyle w:val="3"/>
        <w:spacing w:after="190"/>
      </w:pPr>
      <w:bookmarkStart w:id="65" w:name="_Toc136353204"/>
      <w:r>
        <w:rPr>
          <w:rFonts w:hint="eastAsia"/>
        </w:rPr>
        <w:t>附图1 危险化学品储存设施总体布局图</w:t>
      </w:r>
      <w:bookmarkEnd w:id="65"/>
    </w:p>
    <w:p>
      <w:pPr>
        <w:jc w:val="center"/>
      </w:pPr>
      <w:r>
        <w:rPr>
          <w:rFonts w:hint="eastAsia"/>
        </w:rPr>
        <w:drawing>
          <wp:inline distT="0" distB="0" distL="0" distR="0">
            <wp:extent cx="6666865" cy="4216400"/>
            <wp:effectExtent l="0" t="0" r="635" b="0"/>
            <wp:docPr id="1083705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05785"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2845" cy="4219936"/>
                    </a:xfrm>
                    <a:prstGeom prst="rect">
                      <a:avLst/>
                    </a:prstGeom>
                  </pic:spPr>
                </pic:pic>
              </a:graphicData>
            </a:graphic>
          </wp:inline>
        </w:drawing>
      </w:r>
    </w:p>
    <w:p/>
    <w:p>
      <w:pPr>
        <w:sectPr>
          <w:pgSz w:w="16838" w:h="11906" w:orient="landscape"/>
          <w:pgMar w:top="1800" w:right="1440" w:bottom="1800" w:left="1440" w:header="851" w:footer="992" w:gutter="0"/>
          <w:cols w:space="425" w:num="1"/>
          <w:docGrid w:type="lines" w:linePitch="381" w:charSpace="0"/>
        </w:sectPr>
      </w:pPr>
    </w:p>
    <w:p>
      <w:pPr>
        <w:pStyle w:val="3"/>
        <w:spacing w:after="190"/>
      </w:pPr>
      <w:bookmarkStart w:id="66" w:name="_Toc136353205"/>
      <w:r>
        <w:rPr>
          <w:rFonts w:hint="eastAsia"/>
        </w:rPr>
        <w:t>附图</w:t>
      </w:r>
      <w:r>
        <w:t xml:space="preserve">2 </w:t>
      </w:r>
      <w:r>
        <w:rPr>
          <w:rFonts w:hint="eastAsia"/>
        </w:rPr>
        <w:t>危险化学品集中仓储规划布局图</w:t>
      </w:r>
      <w:bookmarkEnd w:id="66"/>
    </w:p>
    <w:p>
      <w:pPr>
        <w:tabs>
          <w:tab w:val="left" w:pos="3265"/>
        </w:tabs>
        <w:jc w:val="center"/>
        <w:rPr>
          <w:rFonts w:cs="Times New Roman"/>
          <w:szCs w:val="28"/>
        </w:rPr>
      </w:pPr>
      <w:r>
        <w:rPr>
          <w:rFonts w:cs="Times New Roman"/>
          <w:szCs w:val="28"/>
        </w:rPr>
        <w:drawing>
          <wp:inline distT="0" distB="0" distL="0" distR="0">
            <wp:extent cx="7251700" cy="4244340"/>
            <wp:effectExtent l="0" t="0" r="6350" b="3810"/>
            <wp:docPr id="4292022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0223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60788" cy="4249938"/>
                    </a:xfrm>
                    <a:prstGeom prst="rect">
                      <a:avLst/>
                    </a:prstGeom>
                  </pic:spPr>
                </pic:pic>
              </a:graphicData>
            </a:graphic>
          </wp:inline>
        </w:drawing>
      </w:r>
    </w:p>
    <w:p/>
    <w:p>
      <w:pPr>
        <w:sectPr>
          <w:pgSz w:w="16838" w:h="11906" w:orient="landscape"/>
          <w:pgMar w:top="1800" w:right="1440" w:bottom="1800" w:left="1440" w:header="851" w:footer="992" w:gutter="0"/>
          <w:cols w:space="425" w:num="1"/>
          <w:docGrid w:type="lines" w:linePitch="381" w:charSpace="0"/>
        </w:sectPr>
      </w:pPr>
    </w:p>
    <w:p>
      <w:pPr>
        <w:pStyle w:val="3"/>
        <w:spacing w:after="190"/>
      </w:pPr>
      <w:bookmarkStart w:id="67" w:name="_Toc136353206"/>
      <w:r>
        <w:t xml:space="preserve">附图3 </w:t>
      </w:r>
      <w:r>
        <w:rPr>
          <w:rFonts w:hint="eastAsia"/>
        </w:rPr>
        <w:t>危险化学品带储存经营网点规划布局图</w:t>
      </w:r>
      <w:bookmarkEnd w:id="67"/>
    </w:p>
    <w:p>
      <w:pPr>
        <w:jc w:val="center"/>
      </w:pPr>
      <w:r>
        <w:drawing>
          <wp:inline distT="0" distB="0" distL="0" distR="0">
            <wp:extent cx="7259320" cy="4248150"/>
            <wp:effectExtent l="0" t="0" r="0" b="0"/>
            <wp:docPr id="1157965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6587"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66083" cy="4251996"/>
                    </a:xfrm>
                    <a:prstGeom prst="rect">
                      <a:avLst/>
                    </a:prstGeom>
                  </pic:spPr>
                </pic:pic>
              </a:graphicData>
            </a:graphic>
          </wp:inline>
        </w:drawing>
      </w:r>
    </w:p>
    <w:p/>
    <w:p>
      <w:pPr>
        <w:sectPr>
          <w:pgSz w:w="16838" w:h="11906" w:orient="landscape"/>
          <w:pgMar w:top="1800" w:right="1440" w:bottom="1800" w:left="1440" w:header="851" w:footer="992" w:gutter="0"/>
          <w:cols w:space="425" w:num="1"/>
          <w:docGrid w:type="lines" w:linePitch="381" w:charSpace="0"/>
        </w:sectPr>
      </w:pPr>
    </w:p>
    <w:p>
      <w:pPr>
        <w:pStyle w:val="3"/>
        <w:spacing w:after="190"/>
      </w:pPr>
      <w:bookmarkStart w:id="68" w:name="_Toc136353207"/>
      <w:r>
        <w:rPr>
          <w:rFonts w:hint="eastAsia"/>
        </w:rPr>
        <w:t>附图</w:t>
      </w:r>
      <w:r>
        <w:t xml:space="preserve">4 </w:t>
      </w:r>
      <w:r>
        <w:rPr>
          <w:rFonts w:hint="eastAsia"/>
        </w:rPr>
        <w:t>奉化区消防救援站点规划分布图</w:t>
      </w:r>
      <w:bookmarkEnd w:id="68"/>
    </w:p>
    <w:p>
      <w:pPr>
        <w:jc w:val="center"/>
      </w:pPr>
      <w:r>
        <w:drawing>
          <wp:inline distT="0" distB="0" distL="0" distR="0">
            <wp:extent cx="7105650" cy="4176395"/>
            <wp:effectExtent l="0" t="0" r="0" b="0"/>
            <wp:docPr id="9115834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83484" name="图片 3"/>
                    <pic:cNvPicPr>
                      <a:picLocks noChangeAspect="1"/>
                    </pic:cNvPicPr>
                  </pic:nvPicPr>
                  <pic:blipFill>
                    <a:blip r:embed="rId14" cstate="print">
                      <a:extLst>
                        <a:ext uri="{28A0092B-C50C-407E-A947-70E740481C1C}">
                          <a14:useLocalDpi xmlns:a14="http://schemas.microsoft.com/office/drawing/2010/main" val="0"/>
                        </a:ext>
                      </a:extLst>
                    </a:blip>
                    <a:srcRect l="2894" t="11437" r="2529" b="9945"/>
                    <a:stretch>
                      <a:fillRect/>
                    </a:stretch>
                  </pic:blipFill>
                  <pic:spPr>
                    <a:xfrm>
                      <a:off x="0" y="0"/>
                      <a:ext cx="7119411" cy="4184496"/>
                    </a:xfrm>
                    <a:prstGeom prst="rect">
                      <a:avLst/>
                    </a:prstGeom>
                    <a:ln>
                      <a:noFill/>
                    </a:ln>
                  </pic:spPr>
                </pic:pic>
              </a:graphicData>
            </a:graphic>
          </wp:inline>
        </w:drawing>
      </w:r>
    </w:p>
    <w:p/>
    <w:p>
      <w:pPr>
        <w:jc w:val="center"/>
        <w:sectPr>
          <w:pgSz w:w="16838" w:h="11906" w:orient="landscape"/>
          <w:pgMar w:top="1800" w:right="1440" w:bottom="1800" w:left="1440" w:header="851" w:footer="992" w:gutter="0"/>
          <w:cols w:space="425" w:num="1"/>
          <w:docGrid w:type="lines" w:linePitch="381" w:charSpace="0"/>
        </w:sectPr>
      </w:pPr>
    </w:p>
    <w:p>
      <w:pPr>
        <w:pStyle w:val="3"/>
        <w:spacing w:after="190"/>
        <w:jc w:val="left"/>
      </w:pPr>
      <w:bookmarkStart w:id="69" w:name="_Toc136353208"/>
      <w:r>
        <w:rPr>
          <w:rFonts w:hint="eastAsia"/>
        </w:rPr>
        <w:t>附图</w:t>
      </w:r>
      <w:r>
        <w:t xml:space="preserve">5 </w:t>
      </w:r>
      <w:r>
        <w:rPr>
          <w:rFonts w:hint="eastAsia"/>
        </w:rPr>
        <w:t>奉化区主要医疗救援单位分布图</w:t>
      </w:r>
      <w:bookmarkEnd w:id="69"/>
    </w:p>
    <w:p>
      <w:pPr>
        <w:jc w:val="center"/>
      </w:pPr>
      <w:r>
        <w:drawing>
          <wp:inline distT="0" distB="0" distL="0" distR="0">
            <wp:extent cx="7686040" cy="4521200"/>
            <wp:effectExtent l="0" t="0" r="0" b="0"/>
            <wp:docPr id="10697678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67857"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9884" cy="4534899"/>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0052472"/>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1437796"/>
      <w:docPartObj>
        <w:docPartGallery w:val="autotext"/>
      </w:docPartObj>
    </w:sdtPr>
    <w:sdtEndPr>
      <w:rPr>
        <w:sz w:val="24"/>
        <w:szCs w:val="24"/>
      </w:rPr>
    </w:sdtEndPr>
    <w:sdtContent>
      <w:p>
        <w:pPr>
          <w:pStyle w:val="8"/>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34"/>
    <w:rsid w:val="000055B3"/>
    <w:rsid w:val="00011A8E"/>
    <w:rsid w:val="00015ABA"/>
    <w:rsid w:val="000178A9"/>
    <w:rsid w:val="000200AA"/>
    <w:rsid w:val="00023134"/>
    <w:rsid w:val="00023EFB"/>
    <w:rsid w:val="0002567E"/>
    <w:rsid w:val="00025825"/>
    <w:rsid w:val="0002777D"/>
    <w:rsid w:val="000307C2"/>
    <w:rsid w:val="00032359"/>
    <w:rsid w:val="0004548B"/>
    <w:rsid w:val="00046F84"/>
    <w:rsid w:val="000473D2"/>
    <w:rsid w:val="00047ED0"/>
    <w:rsid w:val="00050590"/>
    <w:rsid w:val="00050942"/>
    <w:rsid w:val="0005175F"/>
    <w:rsid w:val="0005673D"/>
    <w:rsid w:val="000569D9"/>
    <w:rsid w:val="00060E15"/>
    <w:rsid w:val="000647EC"/>
    <w:rsid w:val="0007065C"/>
    <w:rsid w:val="000706C5"/>
    <w:rsid w:val="00070CFE"/>
    <w:rsid w:val="00071029"/>
    <w:rsid w:val="00073D15"/>
    <w:rsid w:val="00073DA3"/>
    <w:rsid w:val="00076584"/>
    <w:rsid w:val="00080D5E"/>
    <w:rsid w:val="00081D34"/>
    <w:rsid w:val="0008556C"/>
    <w:rsid w:val="000876A2"/>
    <w:rsid w:val="0009322F"/>
    <w:rsid w:val="000936B6"/>
    <w:rsid w:val="000A13D3"/>
    <w:rsid w:val="000A40BB"/>
    <w:rsid w:val="000A4322"/>
    <w:rsid w:val="000A55E1"/>
    <w:rsid w:val="000A5ABF"/>
    <w:rsid w:val="000A69FF"/>
    <w:rsid w:val="000B0EF4"/>
    <w:rsid w:val="000B146A"/>
    <w:rsid w:val="000B1B91"/>
    <w:rsid w:val="000B2903"/>
    <w:rsid w:val="000B5228"/>
    <w:rsid w:val="000B5F53"/>
    <w:rsid w:val="000B617F"/>
    <w:rsid w:val="000B7A99"/>
    <w:rsid w:val="000C3D37"/>
    <w:rsid w:val="000C4535"/>
    <w:rsid w:val="000C6B99"/>
    <w:rsid w:val="000D0F61"/>
    <w:rsid w:val="000D29BF"/>
    <w:rsid w:val="000D433B"/>
    <w:rsid w:val="000D447D"/>
    <w:rsid w:val="000D513C"/>
    <w:rsid w:val="000D5ABC"/>
    <w:rsid w:val="000E0CD3"/>
    <w:rsid w:val="000E0FEA"/>
    <w:rsid w:val="000E2EAB"/>
    <w:rsid w:val="000E3ED5"/>
    <w:rsid w:val="000E4B89"/>
    <w:rsid w:val="000E5795"/>
    <w:rsid w:val="000E69C0"/>
    <w:rsid w:val="000F04A3"/>
    <w:rsid w:val="000F683B"/>
    <w:rsid w:val="000F68AB"/>
    <w:rsid w:val="001045A4"/>
    <w:rsid w:val="001047DC"/>
    <w:rsid w:val="00107C3E"/>
    <w:rsid w:val="0011386E"/>
    <w:rsid w:val="00113AA0"/>
    <w:rsid w:val="00123887"/>
    <w:rsid w:val="00123D46"/>
    <w:rsid w:val="00124636"/>
    <w:rsid w:val="001276D6"/>
    <w:rsid w:val="001306FE"/>
    <w:rsid w:val="00135770"/>
    <w:rsid w:val="001362FA"/>
    <w:rsid w:val="00140009"/>
    <w:rsid w:val="00141035"/>
    <w:rsid w:val="00141798"/>
    <w:rsid w:val="00142FDF"/>
    <w:rsid w:val="0014390D"/>
    <w:rsid w:val="0014414D"/>
    <w:rsid w:val="001468C0"/>
    <w:rsid w:val="001507F7"/>
    <w:rsid w:val="00150C0A"/>
    <w:rsid w:val="00155D6D"/>
    <w:rsid w:val="00161166"/>
    <w:rsid w:val="00161DEB"/>
    <w:rsid w:val="00166A4E"/>
    <w:rsid w:val="001756ED"/>
    <w:rsid w:val="00177004"/>
    <w:rsid w:val="00180945"/>
    <w:rsid w:val="00181266"/>
    <w:rsid w:val="001832FD"/>
    <w:rsid w:val="00186A71"/>
    <w:rsid w:val="00186D8A"/>
    <w:rsid w:val="001A0184"/>
    <w:rsid w:val="001A32F4"/>
    <w:rsid w:val="001A3CB5"/>
    <w:rsid w:val="001A6BBA"/>
    <w:rsid w:val="001A7C0B"/>
    <w:rsid w:val="001A7F66"/>
    <w:rsid w:val="001B2AB2"/>
    <w:rsid w:val="001B3886"/>
    <w:rsid w:val="001B47A0"/>
    <w:rsid w:val="001C13BB"/>
    <w:rsid w:val="001C424A"/>
    <w:rsid w:val="001C4959"/>
    <w:rsid w:val="001C7A51"/>
    <w:rsid w:val="001D78F9"/>
    <w:rsid w:val="001D7E84"/>
    <w:rsid w:val="001E1D2E"/>
    <w:rsid w:val="001E5814"/>
    <w:rsid w:val="001F1F17"/>
    <w:rsid w:val="001F4D79"/>
    <w:rsid w:val="001F6A22"/>
    <w:rsid w:val="001F76D0"/>
    <w:rsid w:val="001F7B6C"/>
    <w:rsid w:val="00200287"/>
    <w:rsid w:val="00200ECD"/>
    <w:rsid w:val="00204607"/>
    <w:rsid w:val="00204D69"/>
    <w:rsid w:val="002065D3"/>
    <w:rsid w:val="00206CB4"/>
    <w:rsid w:val="002071BF"/>
    <w:rsid w:val="00207847"/>
    <w:rsid w:val="00210E2E"/>
    <w:rsid w:val="002115EE"/>
    <w:rsid w:val="00213552"/>
    <w:rsid w:val="00215F95"/>
    <w:rsid w:val="002176C3"/>
    <w:rsid w:val="002225C5"/>
    <w:rsid w:val="0022536C"/>
    <w:rsid w:val="002307CF"/>
    <w:rsid w:val="00230B59"/>
    <w:rsid w:val="00231AE7"/>
    <w:rsid w:val="002322C1"/>
    <w:rsid w:val="00236C7E"/>
    <w:rsid w:val="00241365"/>
    <w:rsid w:val="00243326"/>
    <w:rsid w:val="00245325"/>
    <w:rsid w:val="00245EDA"/>
    <w:rsid w:val="00251298"/>
    <w:rsid w:val="00251317"/>
    <w:rsid w:val="00257B4E"/>
    <w:rsid w:val="00261D7F"/>
    <w:rsid w:val="00263D18"/>
    <w:rsid w:val="00265516"/>
    <w:rsid w:val="00265E9F"/>
    <w:rsid w:val="0026711F"/>
    <w:rsid w:val="0027145C"/>
    <w:rsid w:val="002723F4"/>
    <w:rsid w:val="00273D0D"/>
    <w:rsid w:val="00276361"/>
    <w:rsid w:val="00276E29"/>
    <w:rsid w:val="00277964"/>
    <w:rsid w:val="00280CEC"/>
    <w:rsid w:val="00281081"/>
    <w:rsid w:val="0028210C"/>
    <w:rsid w:val="00282D0E"/>
    <w:rsid w:val="00282DE8"/>
    <w:rsid w:val="00283AE0"/>
    <w:rsid w:val="0029096C"/>
    <w:rsid w:val="00290FE4"/>
    <w:rsid w:val="00292D0D"/>
    <w:rsid w:val="00293405"/>
    <w:rsid w:val="00296D5E"/>
    <w:rsid w:val="002A322B"/>
    <w:rsid w:val="002A459B"/>
    <w:rsid w:val="002A6E62"/>
    <w:rsid w:val="002B1DC5"/>
    <w:rsid w:val="002B3EF1"/>
    <w:rsid w:val="002B3F1D"/>
    <w:rsid w:val="002B64F6"/>
    <w:rsid w:val="002B749B"/>
    <w:rsid w:val="002C2962"/>
    <w:rsid w:val="002C3D7A"/>
    <w:rsid w:val="002C7318"/>
    <w:rsid w:val="002D1891"/>
    <w:rsid w:val="002D32F4"/>
    <w:rsid w:val="002D3F13"/>
    <w:rsid w:val="002D5ADA"/>
    <w:rsid w:val="002E2530"/>
    <w:rsid w:val="002E3771"/>
    <w:rsid w:val="002E5D56"/>
    <w:rsid w:val="002E77B5"/>
    <w:rsid w:val="002F124D"/>
    <w:rsid w:val="002F3DF2"/>
    <w:rsid w:val="002F4DCF"/>
    <w:rsid w:val="002F557A"/>
    <w:rsid w:val="002F6435"/>
    <w:rsid w:val="00303B84"/>
    <w:rsid w:val="00304381"/>
    <w:rsid w:val="00310015"/>
    <w:rsid w:val="0031135D"/>
    <w:rsid w:val="00314994"/>
    <w:rsid w:val="0033075C"/>
    <w:rsid w:val="00331A34"/>
    <w:rsid w:val="00332A19"/>
    <w:rsid w:val="00333381"/>
    <w:rsid w:val="0033441B"/>
    <w:rsid w:val="00334FB0"/>
    <w:rsid w:val="00340B74"/>
    <w:rsid w:val="003414B7"/>
    <w:rsid w:val="00341DEB"/>
    <w:rsid w:val="00342141"/>
    <w:rsid w:val="0034232D"/>
    <w:rsid w:val="00342450"/>
    <w:rsid w:val="00350C40"/>
    <w:rsid w:val="003518FF"/>
    <w:rsid w:val="00352BF4"/>
    <w:rsid w:val="003531BF"/>
    <w:rsid w:val="00355D16"/>
    <w:rsid w:val="003606C0"/>
    <w:rsid w:val="00361DC8"/>
    <w:rsid w:val="003678F7"/>
    <w:rsid w:val="00367AC4"/>
    <w:rsid w:val="0037242C"/>
    <w:rsid w:val="00374F83"/>
    <w:rsid w:val="00375AF9"/>
    <w:rsid w:val="00382F17"/>
    <w:rsid w:val="00385CF5"/>
    <w:rsid w:val="003879BD"/>
    <w:rsid w:val="00393595"/>
    <w:rsid w:val="003A2D5A"/>
    <w:rsid w:val="003A52E6"/>
    <w:rsid w:val="003A75E3"/>
    <w:rsid w:val="003B004F"/>
    <w:rsid w:val="003B06F3"/>
    <w:rsid w:val="003B1158"/>
    <w:rsid w:val="003B168E"/>
    <w:rsid w:val="003B2102"/>
    <w:rsid w:val="003B21DD"/>
    <w:rsid w:val="003B58C7"/>
    <w:rsid w:val="003B5A0F"/>
    <w:rsid w:val="003C01F2"/>
    <w:rsid w:val="003C0847"/>
    <w:rsid w:val="003C2249"/>
    <w:rsid w:val="003C7730"/>
    <w:rsid w:val="003D0FD3"/>
    <w:rsid w:val="003D1D4E"/>
    <w:rsid w:val="003D1E0D"/>
    <w:rsid w:val="003D21DE"/>
    <w:rsid w:val="003D46D3"/>
    <w:rsid w:val="003E3FD7"/>
    <w:rsid w:val="003E49B0"/>
    <w:rsid w:val="003E4CE5"/>
    <w:rsid w:val="003E606A"/>
    <w:rsid w:val="003E7BB6"/>
    <w:rsid w:val="003F1217"/>
    <w:rsid w:val="003F1A61"/>
    <w:rsid w:val="003F4B79"/>
    <w:rsid w:val="0040097C"/>
    <w:rsid w:val="00402BEA"/>
    <w:rsid w:val="0040776B"/>
    <w:rsid w:val="00410BA9"/>
    <w:rsid w:val="004148EF"/>
    <w:rsid w:val="0042174E"/>
    <w:rsid w:val="0042394F"/>
    <w:rsid w:val="004265D4"/>
    <w:rsid w:val="00426DE0"/>
    <w:rsid w:val="004278F8"/>
    <w:rsid w:val="004308C5"/>
    <w:rsid w:val="00432EE0"/>
    <w:rsid w:val="0043351C"/>
    <w:rsid w:val="0043690D"/>
    <w:rsid w:val="00436D2B"/>
    <w:rsid w:val="00437E0D"/>
    <w:rsid w:val="00445A4D"/>
    <w:rsid w:val="00447219"/>
    <w:rsid w:val="00450A7F"/>
    <w:rsid w:val="004514B7"/>
    <w:rsid w:val="0045427B"/>
    <w:rsid w:val="00457A57"/>
    <w:rsid w:val="00460700"/>
    <w:rsid w:val="00460E75"/>
    <w:rsid w:val="00461CEC"/>
    <w:rsid w:val="00461F0B"/>
    <w:rsid w:val="00464703"/>
    <w:rsid w:val="004649C4"/>
    <w:rsid w:val="004651A0"/>
    <w:rsid w:val="004655DE"/>
    <w:rsid w:val="00466393"/>
    <w:rsid w:val="00470953"/>
    <w:rsid w:val="004801E4"/>
    <w:rsid w:val="004812BD"/>
    <w:rsid w:val="0048157A"/>
    <w:rsid w:val="00481896"/>
    <w:rsid w:val="0048264B"/>
    <w:rsid w:val="00482E45"/>
    <w:rsid w:val="00483BB5"/>
    <w:rsid w:val="00493C90"/>
    <w:rsid w:val="00494FC1"/>
    <w:rsid w:val="004A0B49"/>
    <w:rsid w:val="004A3071"/>
    <w:rsid w:val="004B1370"/>
    <w:rsid w:val="004B279C"/>
    <w:rsid w:val="004B7479"/>
    <w:rsid w:val="004C09C7"/>
    <w:rsid w:val="004C23F7"/>
    <w:rsid w:val="004C428A"/>
    <w:rsid w:val="004C6270"/>
    <w:rsid w:val="004C6D01"/>
    <w:rsid w:val="004D23FB"/>
    <w:rsid w:val="004D42DD"/>
    <w:rsid w:val="004D50F0"/>
    <w:rsid w:val="004D56ED"/>
    <w:rsid w:val="004D5923"/>
    <w:rsid w:val="004D5F7E"/>
    <w:rsid w:val="004D7A1C"/>
    <w:rsid w:val="004D7E1B"/>
    <w:rsid w:val="004E1E77"/>
    <w:rsid w:val="004E3BA2"/>
    <w:rsid w:val="004E7A80"/>
    <w:rsid w:val="004F0048"/>
    <w:rsid w:val="004F1B7A"/>
    <w:rsid w:val="004F1C96"/>
    <w:rsid w:val="004F5B3E"/>
    <w:rsid w:val="004F7B8B"/>
    <w:rsid w:val="0050027F"/>
    <w:rsid w:val="005031D3"/>
    <w:rsid w:val="00504B7B"/>
    <w:rsid w:val="00504DCE"/>
    <w:rsid w:val="005077BC"/>
    <w:rsid w:val="00513623"/>
    <w:rsid w:val="005164EA"/>
    <w:rsid w:val="005213AF"/>
    <w:rsid w:val="00523A21"/>
    <w:rsid w:val="0053057A"/>
    <w:rsid w:val="00530802"/>
    <w:rsid w:val="00531EAD"/>
    <w:rsid w:val="00532BFB"/>
    <w:rsid w:val="00533DC2"/>
    <w:rsid w:val="00534E89"/>
    <w:rsid w:val="005352B6"/>
    <w:rsid w:val="00540783"/>
    <w:rsid w:val="00543DF1"/>
    <w:rsid w:val="00547083"/>
    <w:rsid w:val="00552267"/>
    <w:rsid w:val="005526CD"/>
    <w:rsid w:val="00553069"/>
    <w:rsid w:val="005538E2"/>
    <w:rsid w:val="00553A1C"/>
    <w:rsid w:val="00557F21"/>
    <w:rsid w:val="005622EA"/>
    <w:rsid w:val="00563E6B"/>
    <w:rsid w:val="0056553C"/>
    <w:rsid w:val="00570F36"/>
    <w:rsid w:val="00580C83"/>
    <w:rsid w:val="0058394C"/>
    <w:rsid w:val="00586ECA"/>
    <w:rsid w:val="005877A2"/>
    <w:rsid w:val="00590F08"/>
    <w:rsid w:val="00591620"/>
    <w:rsid w:val="0059182C"/>
    <w:rsid w:val="005929DB"/>
    <w:rsid w:val="00592DF3"/>
    <w:rsid w:val="00593276"/>
    <w:rsid w:val="0059341C"/>
    <w:rsid w:val="00594DDA"/>
    <w:rsid w:val="005A13BF"/>
    <w:rsid w:val="005A1E83"/>
    <w:rsid w:val="005A4B09"/>
    <w:rsid w:val="005A5A89"/>
    <w:rsid w:val="005A7BE2"/>
    <w:rsid w:val="005A7C32"/>
    <w:rsid w:val="005B1887"/>
    <w:rsid w:val="005B3E19"/>
    <w:rsid w:val="005B4300"/>
    <w:rsid w:val="005C05C8"/>
    <w:rsid w:val="005C1C1E"/>
    <w:rsid w:val="005C33CF"/>
    <w:rsid w:val="005D2FEA"/>
    <w:rsid w:val="005E17B8"/>
    <w:rsid w:val="005E1BF0"/>
    <w:rsid w:val="005E251D"/>
    <w:rsid w:val="005E2E53"/>
    <w:rsid w:val="005E4F44"/>
    <w:rsid w:val="005F0F6C"/>
    <w:rsid w:val="005F1214"/>
    <w:rsid w:val="005F23E5"/>
    <w:rsid w:val="005F30BD"/>
    <w:rsid w:val="005F331B"/>
    <w:rsid w:val="00600B72"/>
    <w:rsid w:val="00603D57"/>
    <w:rsid w:val="00611A5C"/>
    <w:rsid w:val="006141A5"/>
    <w:rsid w:val="00617015"/>
    <w:rsid w:val="00620E71"/>
    <w:rsid w:val="00621F1D"/>
    <w:rsid w:val="0062228F"/>
    <w:rsid w:val="006222DD"/>
    <w:rsid w:val="006232E5"/>
    <w:rsid w:val="0062401D"/>
    <w:rsid w:val="006252B5"/>
    <w:rsid w:val="0062790A"/>
    <w:rsid w:val="00631D0A"/>
    <w:rsid w:val="0063473B"/>
    <w:rsid w:val="00637838"/>
    <w:rsid w:val="00640A49"/>
    <w:rsid w:val="006429B6"/>
    <w:rsid w:val="00642C6F"/>
    <w:rsid w:val="00650460"/>
    <w:rsid w:val="006518B9"/>
    <w:rsid w:val="006565AA"/>
    <w:rsid w:val="00660967"/>
    <w:rsid w:val="00661D22"/>
    <w:rsid w:val="00665C9C"/>
    <w:rsid w:val="0066795F"/>
    <w:rsid w:val="00667AD5"/>
    <w:rsid w:val="0067280C"/>
    <w:rsid w:val="00673F79"/>
    <w:rsid w:val="00677097"/>
    <w:rsid w:val="00680961"/>
    <w:rsid w:val="0069007B"/>
    <w:rsid w:val="00690D0B"/>
    <w:rsid w:val="00691A77"/>
    <w:rsid w:val="00692428"/>
    <w:rsid w:val="006A0889"/>
    <w:rsid w:val="006A1E6F"/>
    <w:rsid w:val="006A3408"/>
    <w:rsid w:val="006A462A"/>
    <w:rsid w:val="006A78F8"/>
    <w:rsid w:val="006B0A83"/>
    <w:rsid w:val="006B0B87"/>
    <w:rsid w:val="006B1144"/>
    <w:rsid w:val="006B1AF0"/>
    <w:rsid w:val="006B2534"/>
    <w:rsid w:val="006B37F4"/>
    <w:rsid w:val="006B42F3"/>
    <w:rsid w:val="006B6501"/>
    <w:rsid w:val="006C02FC"/>
    <w:rsid w:val="006C2BF2"/>
    <w:rsid w:val="006C3353"/>
    <w:rsid w:val="006C3A58"/>
    <w:rsid w:val="006C4AF9"/>
    <w:rsid w:val="006C619F"/>
    <w:rsid w:val="006D07EC"/>
    <w:rsid w:val="006D3601"/>
    <w:rsid w:val="006D7AEE"/>
    <w:rsid w:val="006E2384"/>
    <w:rsid w:val="006E71F1"/>
    <w:rsid w:val="006F2438"/>
    <w:rsid w:val="006F4FC2"/>
    <w:rsid w:val="00702A26"/>
    <w:rsid w:val="00705085"/>
    <w:rsid w:val="00705FCF"/>
    <w:rsid w:val="00707984"/>
    <w:rsid w:val="007112BA"/>
    <w:rsid w:val="007117C1"/>
    <w:rsid w:val="0071290C"/>
    <w:rsid w:val="00712C5D"/>
    <w:rsid w:val="00715EF9"/>
    <w:rsid w:val="0071632C"/>
    <w:rsid w:val="00722680"/>
    <w:rsid w:val="007243F8"/>
    <w:rsid w:val="007250A9"/>
    <w:rsid w:val="00732F0A"/>
    <w:rsid w:val="00733119"/>
    <w:rsid w:val="007347E7"/>
    <w:rsid w:val="0074264D"/>
    <w:rsid w:val="0074798F"/>
    <w:rsid w:val="007543E3"/>
    <w:rsid w:val="00756D03"/>
    <w:rsid w:val="00760E2E"/>
    <w:rsid w:val="007642AC"/>
    <w:rsid w:val="007652F4"/>
    <w:rsid w:val="00765EB0"/>
    <w:rsid w:val="007666E5"/>
    <w:rsid w:val="00767F47"/>
    <w:rsid w:val="00776787"/>
    <w:rsid w:val="007776CA"/>
    <w:rsid w:val="00781B9C"/>
    <w:rsid w:val="00782FD1"/>
    <w:rsid w:val="00785704"/>
    <w:rsid w:val="00785B13"/>
    <w:rsid w:val="00786D76"/>
    <w:rsid w:val="00787B22"/>
    <w:rsid w:val="007934BC"/>
    <w:rsid w:val="00793FC4"/>
    <w:rsid w:val="0079404F"/>
    <w:rsid w:val="007959F3"/>
    <w:rsid w:val="007A2D96"/>
    <w:rsid w:val="007A388D"/>
    <w:rsid w:val="007B0187"/>
    <w:rsid w:val="007B2B09"/>
    <w:rsid w:val="007B2E01"/>
    <w:rsid w:val="007B3673"/>
    <w:rsid w:val="007C0333"/>
    <w:rsid w:val="007C0C25"/>
    <w:rsid w:val="007C3C0D"/>
    <w:rsid w:val="007C5281"/>
    <w:rsid w:val="007C70A2"/>
    <w:rsid w:val="007D2B0C"/>
    <w:rsid w:val="007D52C9"/>
    <w:rsid w:val="007E0402"/>
    <w:rsid w:val="007E0AF9"/>
    <w:rsid w:val="007E3FC8"/>
    <w:rsid w:val="007F1542"/>
    <w:rsid w:val="007F1B84"/>
    <w:rsid w:val="007F3A96"/>
    <w:rsid w:val="008005FD"/>
    <w:rsid w:val="008018E6"/>
    <w:rsid w:val="0080677F"/>
    <w:rsid w:val="008070D0"/>
    <w:rsid w:val="00807152"/>
    <w:rsid w:val="00811930"/>
    <w:rsid w:val="00811A24"/>
    <w:rsid w:val="008121FA"/>
    <w:rsid w:val="008154BD"/>
    <w:rsid w:val="0081746B"/>
    <w:rsid w:val="00820F01"/>
    <w:rsid w:val="00821F8A"/>
    <w:rsid w:val="00823B4A"/>
    <w:rsid w:val="00825938"/>
    <w:rsid w:val="00826B06"/>
    <w:rsid w:val="00826E76"/>
    <w:rsid w:val="0083433C"/>
    <w:rsid w:val="00836FD4"/>
    <w:rsid w:val="0084024E"/>
    <w:rsid w:val="008412D3"/>
    <w:rsid w:val="008425A5"/>
    <w:rsid w:val="00843F25"/>
    <w:rsid w:val="00846056"/>
    <w:rsid w:val="008501F7"/>
    <w:rsid w:val="0085538F"/>
    <w:rsid w:val="00856C02"/>
    <w:rsid w:val="00866041"/>
    <w:rsid w:val="008668C4"/>
    <w:rsid w:val="0087034A"/>
    <w:rsid w:val="00870745"/>
    <w:rsid w:val="00872608"/>
    <w:rsid w:val="00872A58"/>
    <w:rsid w:val="00872CBB"/>
    <w:rsid w:val="00875B7E"/>
    <w:rsid w:val="00875CFB"/>
    <w:rsid w:val="00875F6A"/>
    <w:rsid w:val="008844F3"/>
    <w:rsid w:val="00886FAC"/>
    <w:rsid w:val="008910B9"/>
    <w:rsid w:val="00892349"/>
    <w:rsid w:val="00893ED3"/>
    <w:rsid w:val="00896BA2"/>
    <w:rsid w:val="00897281"/>
    <w:rsid w:val="008A352E"/>
    <w:rsid w:val="008A509D"/>
    <w:rsid w:val="008A6E71"/>
    <w:rsid w:val="008A7476"/>
    <w:rsid w:val="008B0C47"/>
    <w:rsid w:val="008B5709"/>
    <w:rsid w:val="008C158A"/>
    <w:rsid w:val="008C19FC"/>
    <w:rsid w:val="008C3574"/>
    <w:rsid w:val="008C3E3D"/>
    <w:rsid w:val="008C6822"/>
    <w:rsid w:val="008D03AB"/>
    <w:rsid w:val="008D0BE0"/>
    <w:rsid w:val="008D1D6D"/>
    <w:rsid w:val="008D5F5B"/>
    <w:rsid w:val="008E0D85"/>
    <w:rsid w:val="008E18B2"/>
    <w:rsid w:val="008E265E"/>
    <w:rsid w:val="008E29CD"/>
    <w:rsid w:val="008E7011"/>
    <w:rsid w:val="008F0F72"/>
    <w:rsid w:val="008F5828"/>
    <w:rsid w:val="0090399A"/>
    <w:rsid w:val="00910265"/>
    <w:rsid w:val="00911605"/>
    <w:rsid w:val="00912D0D"/>
    <w:rsid w:val="00913C17"/>
    <w:rsid w:val="00913D01"/>
    <w:rsid w:val="00913E2E"/>
    <w:rsid w:val="00915097"/>
    <w:rsid w:val="00916193"/>
    <w:rsid w:val="0092210A"/>
    <w:rsid w:val="0092746F"/>
    <w:rsid w:val="00931386"/>
    <w:rsid w:val="0093689A"/>
    <w:rsid w:val="009401F8"/>
    <w:rsid w:val="00940826"/>
    <w:rsid w:val="00942AAB"/>
    <w:rsid w:val="00942B3C"/>
    <w:rsid w:val="00942EF2"/>
    <w:rsid w:val="00947FB5"/>
    <w:rsid w:val="00950515"/>
    <w:rsid w:val="009553D3"/>
    <w:rsid w:val="00956761"/>
    <w:rsid w:val="00957D29"/>
    <w:rsid w:val="00960185"/>
    <w:rsid w:val="009617A3"/>
    <w:rsid w:val="00962CB6"/>
    <w:rsid w:val="009709A8"/>
    <w:rsid w:val="009716C1"/>
    <w:rsid w:val="00972F3B"/>
    <w:rsid w:val="009733A3"/>
    <w:rsid w:val="00977515"/>
    <w:rsid w:val="00985C11"/>
    <w:rsid w:val="009902A4"/>
    <w:rsid w:val="00990707"/>
    <w:rsid w:val="00992EF4"/>
    <w:rsid w:val="00993BF7"/>
    <w:rsid w:val="009A14F4"/>
    <w:rsid w:val="009A1FC8"/>
    <w:rsid w:val="009A3396"/>
    <w:rsid w:val="009A6A6D"/>
    <w:rsid w:val="009A73D4"/>
    <w:rsid w:val="009A7BD9"/>
    <w:rsid w:val="009A7C2D"/>
    <w:rsid w:val="009B279E"/>
    <w:rsid w:val="009B5E96"/>
    <w:rsid w:val="009B67BF"/>
    <w:rsid w:val="009C5D83"/>
    <w:rsid w:val="009D289F"/>
    <w:rsid w:val="009D295C"/>
    <w:rsid w:val="009D41AA"/>
    <w:rsid w:val="009D5ED9"/>
    <w:rsid w:val="009E6BDD"/>
    <w:rsid w:val="009E6BE2"/>
    <w:rsid w:val="009E77B4"/>
    <w:rsid w:val="009F1EE2"/>
    <w:rsid w:val="00A00322"/>
    <w:rsid w:val="00A03A8B"/>
    <w:rsid w:val="00A0468D"/>
    <w:rsid w:val="00A05E11"/>
    <w:rsid w:val="00A075CD"/>
    <w:rsid w:val="00A1113E"/>
    <w:rsid w:val="00A12794"/>
    <w:rsid w:val="00A143B7"/>
    <w:rsid w:val="00A17C7F"/>
    <w:rsid w:val="00A22743"/>
    <w:rsid w:val="00A27A06"/>
    <w:rsid w:val="00A3088B"/>
    <w:rsid w:val="00A3093C"/>
    <w:rsid w:val="00A35E09"/>
    <w:rsid w:val="00A365AA"/>
    <w:rsid w:val="00A36FF6"/>
    <w:rsid w:val="00A37E60"/>
    <w:rsid w:val="00A41FD1"/>
    <w:rsid w:val="00A43453"/>
    <w:rsid w:val="00A475A8"/>
    <w:rsid w:val="00A519BF"/>
    <w:rsid w:val="00A52704"/>
    <w:rsid w:val="00A532C1"/>
    <w:rsid w:val="00A54EB8"/>
    <w:rsid w:val="00A56906"/>
    <w:rsid w:val="00A56A20"/>
    <w:rsid w:val="00A56C79"/>
    <w:rsid w:val="00A61387"/>
    <w:rsid w:val="00A6783F"/>
    <w:rsid w:val="00A700F9"/>
    <w:rsid w:val="00A7112B"/>
    <w:rsid w:val="00A71204"/>
    <w:rsid w:val="00A721A5"/>
    <w:rsid w:val="00A724C6"/>
    <w:rsid w:val="00A751A1"/>
    <w:rsid w:val="00A830C1"/>
    <w:rsid w:val="00A85494"/>
    <w:rsid w:val="00A9008D"/>
    <w:rsid w:val="00A93A83"/>
    <w:rsid w:val="00A94567"/>
    <w:rsid w:val="00AA6490"/>
    <w:rsid w:val="00AA734E"/>
    <w:rsid w:val="00AB26FB"/>
    <w:rsid w:val="00AB48DE"/>
    <w:rsid w:val="00AB65B8"/>
    <w:rsid w:val="00AB7767"/>
    <w:rsid w:val="00AC2EEF"/>
    <w:rsid w:val="00AC5019"/>
    <w:rsid w:val="00AC5466"/>
    <w:rsid w:val="00AD0E72"/>
    <w:rsid w:val="00AD3809"/>
    <w:rsid w:val="00AD42DD"/>
    <w:rsid w:val="00AD455B"/>
    <w:rsid w:val="00AD5096"/>
    <w:rsid w:val="00AD5463"/>
    <w:rsid w:val="00AD5651"/>
    <w:rsid w:val="00AE04CE"/>
    <w:rsid w:val="00AE0867"/>
    <w:rsid w:val="00AE0A5C"/>
    <w:rsid w:val="00AE164F"/>
    <w:rsid w:val="00AE185B"/>
    <w:rsid w:val="00AE2A56"/>
    <w:rsid w:val="00AF44B2"/>
    <w:rsid w:val="00AF78DC"/>
    <w:rsid w:val="00B058C7"/>
    <w:rsid w:val="00B075E7"/>
    <w:rsid w:val="00B07C4E"/>
    <w:rsid w:val="00B13995"/>
    <w:rsid w:val="00B16D73"/>
    <w:rsid w:val="00B170B7"/>
    <w:rsid w:val="00B20EFB"/>
    <w:rsid w:val="00B24972"/>
    <w:rsid w:val="00B27AC7"/>
    <w:rsid w:val="00B313AB"/>
    <w:rsid w:val="00B31DE8"/>
    <w:rsid w:val="00B3318C"/>
    <w:rsid w:val="00B37D00"/>
    <w:rsid w:val="00B42014"/>
    <w:rsid w:val="00B44551"/>
    <w:rsid w:val="00B47A0F"/>
    <w:rsid w:val="00B51BF1"/>
    <w:rsid w:val="00B52FFD"/>
    <w:rsid w:val="00B55FBA"/>
    <w:rsid w:val="00B6466A"/>
    <w:rsid w:val="00B73D4E"/>
    <w:rsid w:val="00B74B84"/>
    <w:rsid w:val="00B82D20"/>
    <w:rsid w:val="00B9073E"/>
    <w:rsid w:val="00B90EEF"/>
    <w:rsid w:val="00B941ED"/>
    <w:rsid w:val="00BA5176"/>
    <w:rsid w:val="00BA63B4"/>
    <w:rsid w:val="00BA69BC"/>
    <w:rsid w:val="00BA7867"/>
    <w:rsid w:val="00BA7BAE"/>
    <w:rsid w:val="00BB0C99"/>
    <w:rsid w:val="00BB2C0A"/>
    <w:rsid w:val="00BB2CED"/>
    <w:rsid w:val="00BC3A20"/>
    <w:rsid w:val="00BC3A4E"/>
    <w:rsid w:val="00BC55C3"/>
    <w:rsid w:val="00BD3086"/>
    <w:rsid w:val="00BD37F2"/>
    <w:rsid w:val="00BD4569"/>
    <w:rsid w:val="00BD48E1"/>
    <w:rsid w:val="00BD5CE4"/>
    <w:rsid w:val="00BD6BA2"/>
    <w:rsid w:val="00BE4878"/>
    <w:rsid w:val="00BF4016"/>
    <w:rsid w:val="00BF7E4B"/>
    <w:rsid w:val="00C0104D"/>
    <w:rsid w:val="00C03627"/>
    <w:rsid w:val="00C05935"/>
    <w:rsid w:val="00C14A2C"/>
    <w:rsid w:val="00C14FB4"/>
    <w:rsid w:val="00C17656"/>
    <w:rsid w:val="00C17836"/>
    <w:rsid w:val="00C21576"/>
    <w:rsid w:val="00C231CF"/>
    <w:rsid w:val="00C23F20"/>
    <w:rsid w:val="00C24582"/>
    <w:rsid w:val="00C26DCC"/>
    <w:rsid w:val="00C31B66"/>
    <w:rsid w:val="00C332B4"/>
    <w:rsid w:val="00C3343B"/>
    <w:rsid w:val="00C34636"/>
    <w:rsid w:val="00C36802"/>
    <w:rsid w:val="00C409AC"/>
    <w:rsid w:val="00C414F1"/>
    <w:rsid w:val="00C4286E"/>
    <w:rsid w:val="00C42D2E"/>
    <w:rsid w:val="00C4306D"/>
    <w:rsid w:val="00C43B3F"/>
    <w:rsid w:val="00C51266"/>
    <w:rsid w:val="00C53A61"/>
    <w:rsid w:val="00C551D1"/>
    <w:rsid w:val="00C55C71"/>
    <w:rsid w:val="00C5766B"/>
    <w:rsid w:val="00C57AE1"/>
    <w:rsid w:val="00C60843"/>
    <w:rsid w:val="00C61530"/>
    <w:rsid w:val="00C6417D"/>
    <w:rsid w:val="00C64424"/>
    <w:rsid w:val="00C6691E"/>
    <w:rsid w:val="00C6797F"/>
    <w:rsid w:val="00C70DE4"/>
    <w:rsid w:val="00C71B81"/>
    <w:rsid w:val="00C73534"/>
    <w:rsid w:val="00C75E45"/>
    <w:rsid w:val="00C76E2D"/>
    <w:rsid w:val="00C81720"/>
    <w:rsid w:val="00C83DDD"/>
    <w:rsid w:val="00C83E54"/>
    <w:rsid w:val="00C845BC"/>
    <w:rsid w:val="00C86182"/>
    <w:rsid w:val="00C87382"/>
    <w:rsid w:val="00C93F42"/>
    <w:rsid w:val="00C9427E"/>
    <w:rsid w:val="00C949C1"/>
    <w:rsid w:val="00C94D2B"/>
    <w:rsid w:val="00CA38BF"/>
    <w:rsid w:val="00CA4965"/>
    <w:rsid w:val="00CA5583"/>
    <w:rsid w:val="00CB35E9"/>
    <w:rsid w:val="00CB5E19"/>
    <w:rsid w:val="00CC03D0"/>
    <w:rsid w:val="00CC0F4E"/>
    <w:rsid w:val="00CD1403"/>
    <w:rsid w:val="00CD4E8B"/>
    <w:rsid w:val="00CD75B0"/>
    <w:rsid w:val="00CE1A46"/>
    <w:rsid w:val="00CE5B03"/>
    <w:rsid w:val="00CE78A1"/>
    <w:rsid w:val="00CF16F4"/>
    <w:rsid w:val="00D013E8"/>
    <w:rsid w:val="00D015E4"/>
    <w:rsid w:val="00D01FC4"/>
    <w:rsid w:val="00D033A5"/>
    <w:rsid w:val="00D103C7"/>
    <w:rsid w:val="00D10FEA"/>
    <w:rsid w:val="00D11CA8"/>
    <w:rsid w:val="00D12347"/>
    <w:rsid w:val="00D124D1"/>
    <w:rsid w:val="00D12A3C"/>
    <w:rsid w:val="00D12F0B"/>
    <w:rsid w:val="00D2338F"/>
    <w:rsid w:val="00D23A4A"/>
    <w:rsid w:val="00D23BE9"/>
    <w:rsid w:val="00D2756E"/>
    <w:rsid w:val="00D31A5C"/>
    <w:rsid w:val="00D35972"/>
    <w:rsid w:val="00D37BA2"/>
    <w:rsid w:val="00D41709"/>
    <w:rsid w:val="00D42160"/>
    <w:rsid w:val="00D43A5B"/>
    <w:rsid w:val="00D44B7E"/>
    <w:rsid w:val="00D456A7"/>
    <w:rsid w:val="00D4760F"/>
    <w:rsid w:val="00D526D8"/>
    <w:rsid w:val="00D55A91"/>
    <w:rsid w:val="00D56C77"/>
    <w:rsid w:val="00D5701D"/>
    <w:rsid w:val="00D610C8"/>
    <w:rsid w:val="00D61A28"/>
    <w:rsid w:val="00D76974"/>
    <w:rsid w:val="00D82321"/>
    <w:rsid w:val="00D8325F"/>
    <w:rsid w:val="00D83C46"/>
    <w:rsid w:val="00D87450"/>
    <w:rsid w:val="00D95924"/>
    <w:rsid w:val="00DA0C3D"/>
    <w:rsid w:val="00DA1B78"/>
    <w:rsid w:val="00DA4E96"/>
    <w:rsid w:val="00DB0CC2"/>
    <w:rsid w:val="00DB130B"/>
    <w:rsid w:val="00DB4BF9"/>
    <w:rsid w:val="00DB6F9C"/>
    <w:rsid w:val="00DC0986"/>
    <w:rsid w:val="00DC0EC1"/>
    <w:rsid w:val="00DD3F5A"/>
    <w:rsid w:val="00DD5C1E"/>
    <w:rsid w:val="00DD5D92"/>
    <w:rsid w:val="00DD7657"/>
    <w:rsid w:val="00DE07F8"/>
    <w:rsid w:val="00DE270C"/>
    <w:rsid w:val="00DE29C3"/>
    <w:rsid w:val="00DE34BA"/>
    <w:rsid w:val="00DE6B73"/>
    <w:rsid w:val="00DF099F"/>
    <w:rsid w:val="00DF25DD"/>
    <w:rsid w:val="00DF361A"/>
    <w:rsid w:val="00DF62D3"/>
    <w:rsid w:val="00DF66D4"/>
    <w:rsid w:val="00DF6ED4"/>
    <w:rsid w:val="00E03C7B"/>
    <w:rsid w:val="00E0632A"/>
    <w:rsid w:val="00E11D4F"/>
    <w:rsid w:val="00E134B6"/>
    <w:rsid w:val="00E14EC0"/>
    <w:rsid w:val="00E16E74"/>
    <w:rsid w:val="00E211D9"/>
    <w:rsid w:val="00E2503A"/>
    <w:rsid w:val="00E25F8A"/>
    <w:rsid w:val="00E26C04"/>
    <w:rsid w:val="00E303AA"/>
    <w:rsid w:val="00E31238"/>
    <w:rsid w:val="00E32F97"/>
    <w:rsid w:val="00E34BAB"/>
    <w:rsid w:val="00E356E3"/>
    <w:rsid w:val="00E41E6A"/>
    <w:rsid w:val="00E42325"/>
    <w:rsid w:val="00E51F9E"/>
    <w:rsid w:val="00E52648"/>
    <w:rsid w:val="00E60208"/>
    <w:rsid w:val="00E60C0A"/>
    <w:rsid w:val="00E60E48"/>
    <w:rsid w:val="00E67A2F"/>
    <w:rsid w:val="00E70A91"/>
    <w:rsid w:val="00E726E5"/>
    <w:rsid w:val="00E72FFF"/>
    <w:rsid w:val="00E75A16"/>
    <w:rsid w:val="00E77D1E"/>
    <w:rsid w:val="00E860B1"/>
    <w:rsid w:val="00E86429"/>
    <w:rsid w:val="00E9172E"/>
    <w:rsid w:val="00E91901"/>
    <w:rsid w:val="00E92D25"/>
    <w:rsid w:val="00E92D30"/>
    <w:rsid w:val="00E94890"/>
    <w:rsid w:val="00E95A77"/>
    <w:rsid w:val="00EA2EE9"/>
    <w:rsid w:val="00EA5431"/>
    <w:rsid w:val="00EA5E9C"/>
    <w:rsid w:val="00EB0AC1"/>
    <w:rsid w:val="00EB1999"/>
    <w:rsid w:val="00EB2E88"/>
    <w:rsid w:val="00EB52A3"/>
    <w:rsid w:val="00EB55D7"/>
    <w:rsid w:val="00EB5C48"/>
    <w:rsid w:val="00EC20D3"/>
    <w:rsid w:val="00EC2425"/>
    <w:rsid w:val="00EC2E59"/>
    <w:rsid w:val="00EC452D"/>
    <w:rsid w:val="00EC5F27"/>
    <w:rsid w:val="00ED4D3C"/>
    <w:rsid w:val="00ED5613"/>
    <w:rsid w:val="00ED56DC"/>
    <w:rsid w:val="00ED578D"/>
    <w:rsid w:val="00ED579F"/>
    <w:rsid w:val="00ED6688"/>
    <w:rsid w:val="00ED7DA4"/>
    <w:rsid w:val="00EE2DD0"/>
    <w:rsid w:val="00EE71E2"/>
    <w:rsid w:val="00EF07C5"/>
    <w:rsid w:val="00EF1664"/>
    <w:rsid w:val="00EF4397"/>
    <w:rsid w:val="00EF45E5"/>
    <w:rsid w:val="00EF6F31"/>
    <w:rsid w:val="00EF7E91"/>
    <w:rsid w:val="00F01FA3"/>
    <w:rsid w:val="00F021B5"/>
    <w:rsid w:val="00F022F8"/>
    <w:rsid w:val="00F04B26"/>
    <w:rsid w:val="00F0554C"/>
    <w:rsid w:val="00F060B9"/>
    <w:rsid w:val="00F06958"/>
    <w:rsid w:val="00F155FB"/>
    <w:rsid w:val="00F15A47"/>
    <w:rsid w:val="00F15B2E"/>
    <w:rsid w:val="00F161AD"/>
    <w:rsid w:val="00F1693B"/>
    <w:rsid w:val="00F16B27"/>
    <w:rsid w:val="00F25B72"/>
    <w:rsid w:val="00F25ED5"/>
    <w:rsid w:val="00F2778A"/>
    <w:rsid w:val="00F30048"/>
    <w:rsid w:val="00F30CCF"/>
    <w:rsid w:val="00F318A4"/>
    <w:rsid w:val="00F3342A"/>
    <w:rsid w:val="00F33E31"/>
    <w:rsid w:val="00F34B1A"/>
    <w:rsid w:val="00F402C4"/>
    <w:rsid w:val="00F40E4C"/>
    <w:rsid w:val="00F42732"/>
    <w:rsid w:val="00F45A99"/>
    <w:rsid w:val="00F46EF3"/>
    <w:rsid w:val="00F47998"/>
    <w:rsid w:val="00F47E2B"/>
    <w:rsid w:val="00F51770"/>
    <w:rsid w:val="00F52783"/>
    <w:rsid w:val="00F52CC3"/>
    <w:rsid w:val="00F53414"/>
    <w:rsid w:val="00F53D8B"/>
    <w:rsid w:val="00F55A0E"/>
    <w:rsid w:val="00F569FF"/>
    <w:rsid w:val="00F56D1A"/>
    <w:rsid w:val="00F65B1D"/>
    <w:rsid w:val="00F66C19"/>
    <w:rsid w:val="00F71111"/>
    <w:rsid w:val="00F73A72"/>
    <w:rsid w:val="00F76AA6"/>
    <w:rsid w:val="00F77AF3"/>
    <w:rsid w:val="00F77AFC"/>
    <w:rsid w:val="00F90033"/>
    <w:rsid w:val="00F90907"/>
    <w:rsid w:val="00F97C77"/>
    <w:rsid w:val="00FA0BD0"/>
    <w:rsid w:val="00FA226E"/>
    <w:rsid w:val="00FA30FD"/>
    <w:rsid w:val="00FA777F"/>
    <w:rsid w:val="00FB0EC9"/>
    <w:rsid w:val="00FB12A1"/>
    <w:rsid w:val="00FB530A"/>
    <w:rsid w:val="00FB598B"/>
    <w:rsid w:val="00FC0260"/>
    <w:rsid w:val="00FC2B67"/>
    <w:rsid w:val="00FC3576"/>
    <w:rsid w:val="00FC3CCF"/>
    <w:rsid w:val="00FC4198"/>
    <w:rsid w:val="00FC6C79"/>
    <w:rsid w:val="00FD2C7D"/>
    <w:rsid w:val="00FE3E11"/>
    <w:rsid w:val="00FE692F"/>
    <w:rsid w:val="00FF4636"/>
    <w:rsid w:val="43B07D75"/>
    <w:rsid w:val="74F33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8"/>
      <w:szCs w:val="22"/>
      <w:lang w:val="en-US" w:eastAsia="zh-CN" w:bidi="ar-SA"/>
    </w:rPr>
  </w:style>
  <w:style w:type="paragraph" w:styleId="2">
    <w:name w:val="heading 1"/>
    <w:basedOn w:val="1"/>
    <w:next w:val="1"/>
    <w:link w:val="17"/>
    <w:qFormat/>
    <w:uiPriority w:val="9"/>
    <w:pPr>
      <w:keepNext/>
      <w:keepLines/>
      <w:spacing w:before="50" w:beforeLines="50" w:after="50" w:afterLines="50" w:line="360" w:lineRule="auto"/>
      <w:outlineLvl w:val="0"/>
    </w:pPr>
    <w:rPr>
      <w:b/>
      <w:bCs/>
      <w:kern w:val="44"/>
      <w:sz w:val="36"/>
      <w:szCs w:val="44"/>
    </w:rPr>
  </w:style>
  <w:style w:type="paragraph" w:styleId="3">
    <w:name w:val="heading 2"/>
    <w:basedOn w:val="1"/>
    <w:next w:val="1"/>
    <w:link w:val="18"/>
    <w:unhideWhenUsed/>
    <w:qFormat/>
    <w:uiPriority w:val="9"/>
    <w:pPr>
      <w:keepNext/>
      <w:keepLines/>
      <w:spacing w:after="50" w:afterLines="50" w:line="360" w:lineRule="auto"/>
      <w:outlineLvl w:val="1"/>
    </w:pPr>
    <w:rPr>
      <w:rFonts w:cstheme="majorBidi"/>
      <w:b/>
      <w:bCs/>
      <w:sz w:val="32"/>
      <w:szCs w:val="32"/>
    </w:rPr>
  </w:style>
  <w:style w:type="paragraph" w:styleId="4">
    <w:name w:val="heading 3"/>
    <w:basedOn w:val="1"/>
    <w:next w:val="1"/>
    <w:link w:val="20"/>
    <w:unhideWhenUsed/>
    <w:qFormat/>
    <w:uiPriority w:val="9"/>
    <w:pPr>
      <w:keepNext/>
      <w:keepLines/>
      <w:spacing w:line="360" w:lineRule="auto"/>
      <w:outlineLvl w:val="2"/>
    </w:pPr>
    <w:rPr>
      <w:b/>
      <w:bCs/>
      <w:szCs w:val="32"/>
    </w:rPr>
  </w:style>
  <w:style w:type="paragraph" w:styleId="5">
    <w:name w:val="heading 4"/>
    <w:basedOn w:val="1"/>
    <w:next w:val="1"/>
    <w:link w:val="24"/>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16"/>
    <w:semiHidden/>
    <w:unhideWhenUsed/>
    <w:qFormat/>
    <w:uiPriority w:val="99"/>
    <w:pPr>
      <w:ind w:left="100" w:leftChars="2500"/>
    </w:pPr>
  </w:style>
  <w:style w:type="paragraph" w:styleId="8">
    <w:name w:val="footer"/>
    <w:basedOn w:val="1"/>
    <w:link w:val="22"/>
    <w:unhideWhenUsed/>
    <w:uiPriority w:val="99"/>
    <w:pPr>
      <w:tabs>
        <w:tab w:val="center" w:pos="4153"/>
        <w:tab w:val="right" w:pos="8306"/>
      </w:tabs>
      <w:snapToGrid w:val="0"/>
      <w:jc w:val="left"/>
    </w:pPr>
    <w:rPr>
      <w:sz w:val="18"/>
      <w:szCs w:val="18"/>
    </w:rPr>
  </w:style>
  <w:style w:type="paragraph" w:styleId="9">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日期 字符"/>
    <w:basedOn w:val="14"/>
    <w:link w:val="7"/>
    <w:semiHidden/>
    <w:uiPriority w:val="99"/>
  </w:style>
  <w:style w:type="character" w:customStyle="1" w:styleId="17">
    <w:name w:val="标题 1 字符"/>
    <w:basedOn w:val="14"/>
    <w:link w:val="2"/>
    <w:uiPriority w:val="9"/>
    <w:rPr>
      <w:b/>
      <w:bCs/>
      <w:kern w:val="44"/>
      <w:sz w:val="36"/>
      <w:szCs w:val="44"/>
    </w:rPr>
  </w:style>
  <w:style w:type="character" w:customStyle="1" w:styleId="18">
    <w:name w:val="标题 2 字符"/>
    <w:basedOn w:val="14"/>
    <w:link w:val="3"/>
    <w:uiPriority w:val="9"/>
    <w:rPr>
      <w:rFonts w:cstheme="majorBidi"/>
      <w:b/>
      <w:bCs/>
      <w:sz w:val="32"/>
      <w:szCs w:val="32"/>
    </w:rPr>
  </w:style>
  <w:style w:type="paragraph" w:styleId="19">
    <w:name w:val="List Paragraph"/>
    <w:basedOn w:val="1"/>
    <w:qFormat/>
    <w:uiPriority w:val="34"/>
    <w:pPr>
      <w:ind w:firstLine="420" w:firstLineChars="200"/>
    </w:pPr>
  </w:style>
  <w:style w:type="character" w:customStyle="1" w:styleId="20">
    <w:name w:val="标题 3 字符"/>
    <w:basedOn w:val="14"/>
    <w:link w:val="4"/>
    <w:uiPriority w:val="9"/>
    <w:rPr>
      <w:b/>
      <w:bCs/>
      <w:szCs w:val="32"/>
    </w:rPr>
  </w:style>
  <w:style w:type="character" w:customStyle="1" w:styleId="21">
    <w:name w:val="页眉 字符"/>
    <w:basedOn w:val="14"/>
    <w:link w:val="9"/>
    <w:uiPriority w:val="99"/>
    <w:rPr>
      <w:sz w:val="18"/>
      <w:szCs w:val="18"/>
    </w:rPr>
  </w:style>
  <w:style w:type="character" w:customStyle="1" w:styleId="22">
    <w:name w:val="页脚 字符"/>
    <w:basedOn w:val="14"/>
    <w:link w:val="8"/>
    <w:uiPriority w:val="99"/>
    <w:rPr>
      <w:sz w:val="18"/>
      <w:szCs w:val="18"/>
    </w:rPr>
  </w:style>
  <w:style w:type="paragraph" w:customStyle="1" w:styleId="23">
    <w:name w:val="TOC Heading"/>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标题 4 字符"/>
    <w:basedOn w:val="14"/>
    <w:link w:val="5"/>
    <w:semiHidden/>
    <w:qFormat/>
    <w:uiPriority w:val="9"/>
    <w:rPr>
      <w:rFonts w:asciiTheme="majorHAnsi" w:hAnsiTheme="majorHAnsi" w:eastAsiaTheme="majorEastAsia" w:cstheme="majorBidi"/>
      <w:b/>
      <w:bCs/>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Work\&#22857;&#21270;&#21306;&#21361;&#21270;&#21697;&#20351;&#29992;&#20225;&#19994;%20&#32479;&#35745;&#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分析!$B$1</c:f>
              <c:strCache>
                <c:ptCount val="1"/>
                <c:pt idx="0">
                  <c:v>使用企业数量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分析!$A$2:$A$13</c:f>
              <c:strCache>
                <c:ptCount val="12"/>
                <c:pt idx="0">
                  <c:v>锦屏</c:v>
                </c:pt>
                <c:pt idx="1">
                  <c:v>岳林</c:v>
                </c:pt>
                <c:pt idx="2">
                  <c:v>江口</c:v>
                </c:pt>
                <c:pt idx="3">
                  <c:v>西坞</c:v>
                </c:pt>
                <c:pt idx="4">
                  <c:v>萧王庙</c:v>
                </c:pt>
                <c:pt idx="5">
                  <c:v>方桥</c:v>
                </c:pt>
                <c:pt idx="6">
                  <c:v>溪口</c:v>
                </c:pt>
                <c:pt idx="7">
                  <c:v>尚田</c:v>
                </c:pt>
                <c:pt idx="8">
                  <c:v>莼湖</c:v>
                </c:pt>
                <c:pt idx="9">
                  <c:v>裘村</c:v>
                </c:pt>
                <c:pt idx="10">
                  <c:v>松岙</c:v>
                </c:pt>
                <c:pt idx="11">
                  <c:v>开发区</c:v>
                </c:pt>
              </c:strCache>
            </c:strRef>
          </c:cat>
          <c:val>
            <c:numRef>
              <c:f>分析!$B$2:$B$13</c:f>
              <c:numCache>
                <c:formatCode>General</c:formatCode>
                <c:ptCount val="12"/>
                <c:pt idx="0">
                  <c:v>9</c:v>
                </c:pt>
                <c:pt idx="1">
                  <c:v>4</c:v>
                </c:pt>
                <c:pt idx="2">
                  <c:v>54</c:v>
                </c:pt>
                <c:pt idx="3">
                  <c:v>68</c:v>
                </c:pt>
                <c:pt idx="4">
                  <c:v>10</c:v>
                </c:pt>
                <c:pt idx="5">
                  <c:v>33</c:v>
                </c:pt>
                <c:pt idx="6">
                  <c:v>37</c:v>
                </c:pt>
                <c:pt idx="7">
                  <c:v>54</c:v>
                </c:pt>
                <c:pt idx="8">
                  <c:v>40</c:v>
                </c:pt>
                <c:pt idx="9">
                  <c:v>8</c:v>
                </c:pt>
                <c:pt idx="10">
                  <c:v>12</c:v>
                </c:pt>
                <c:pt idx="11">
                  <c:v>42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4A7B3-8A80-4AB8-B719-3365DF07D51A}">
  <ds:schemaRefs/>
</ds:datastoreItem>
</file>

<file path=docProps/app.xml><?xml version="1.0" encoding="utf-8"?>
<Properties xmlns="http://schemas.openxmlformats.org/officeDocument/2006/extended-properties" xmlns:vt="http://schemas.openxmlformats.org/officeDocument/2006/docPropsVTypes">
  <Template>Normal</Template>
  <Pages>1</Pages>
  <Words>3040</Words>
  <Characters>17332</Characters>
  <Lines>144</Lines>
  <Paragraphs>40</Paragraphs>
  <TotalTime>200</TotalTime>
  <ScaleCrop>false</ScaleCrop>
  <LinksUpToDate>false</LinksUpToDate>
  <CharactersWithSpaces>20332</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2023-04-06T05:04:00Z</dcterms:created>
  <dc:creator>feng xiao</dc:creator>
  <cp:lastModifiedBy>Administrator</cp:lastModifiedBy>
  <cp:lastPrinted>2023-05-30T07:32:00Z</cp:lastPrinted>
  <dcterms:modified xsi:type="dcterms:W3CDTF">2023-06-02T00:27:55Z</dcterms:modified>
  <cp:revision>548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